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42" w:type="dxa"/>
        <w:tblLook w:val="04A0" w:firstRow="1" w:lastRow="0" w:firstColumn="1" w:lastColumn="0" w:noHBand="0" w:noVBand="1"/>
      </w:tblPr>
      <w:tblGrid>
        <w:gridCol w:w="3403"/>
        <w:gridCol w:w="5953"/>
      </w:tblGrid>
      <w:tr w:rsidR="002928E9" w:rsidRPr="00E61D96" w:rsidTr="00337EA1">
        <w:tc>
          <w:tcPr>
            <w:tcW w:w="3403" w:type="dxa"/>
          </w:tcPr>
          <w:p w:rsidR="002928E9" w:rsidRPr="00E61D96" w:rsidRDefault="002928E9" w:rsidP="0044539E">
            <w:pPr>
              <w:tabs>
                <w:tab w:val="num" w:pos="360"/>
              </w:tabs>
              <w:spacing w:line="264" w:lineRule="auto"/>
              <w:ind w:left="-142" w:right="-108"/>
              <w:jc w:val="center"/>
              <w:rPr>
                <w:rFonts w:eastAsia="MS Mincho"/>
                <w:b/>
                <w:sz w:val="24"/>
                <w:szCs w:val="24"/>
              </w:rPr>
            </w:pPr>
            <w:r>
              <w:rPr>
                <w:rFonts w:eastAsia="MS Mincho"/>
                <w:b/>
                <w:sz w:val="24"/>
                <w:szCs w:val="24"/>
              </w:rPr>
              <w:t>CHÍNH PHỦ</w:t>
            </w:r>
          </w:p>
          <w:p w:rsidR="002928E9" w:rsidRPr="00E61D96" w:rsidRDefault="002928E9" w:rsidP="00E4749E">
            <w:pPr>
              <w:tabs>
                <w:tab w:val="num" w:pos="360"/>
              </w:tabs>
              <w:spacing w:line="264" w:lineRule="auto"/>
              <w:ind w:left="-142" w:right="-108"/>
              <w:jc w:val="center"/>
              <w:rPr>
                <w:rFonts w:eastAsia="MS Mincho"/>
                <w:b/>
                <w:sz w:val="24"/>
                <w:szCs w:val="24"/>
              </w:rPr>
            </w:pPr>
            <w:r w:rsidRPr="00E61D96">
              <w:rPr>
                <w:noProof/>
                <w:szCs w:val="20"/>
              </w:rPr>
              <mc:AlternateContent>
                <mc:Choice Requires="wps">
                  <w:drawing>
                    <wp:anchor distT="0" distB="0" distL="114300" distR="114300" simplePos="0" relativeHeight="251659264" behindDoc="0" locked="0" layoutInCell="1" allowOverlap="1" wp14:anchorId="5BDF43EB" wp14:editId="1F3D6EA8">
                      <wp:simplePos x="0" y="0"/>
                      <wp:positionH relativeFrom="column">
                        <wp:posOffset>631190</wp:posOffset>
                      </wp:positionH>
                      <wp:positionV relativeFrom="paragraph">
                        <wp:posOffset>13970</wp:posOffset>
                      </wp:positionV>
                      <wp:extent cx="765175" cy="635"/>
                      <wp:effectExtent l="0" t="0" r="349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FF12B" id="_x0000_t32" coordsize="21600,21600" o:spt="32" o:oned="t" path="m,l21600,21600e" filled="f">
                      <v:path arrowok="t" fillok="f" o:connecttype="none"/>
                      <o:lock v:ext="edit" shapetype="t"/>
                    </v:shapetype>
                    <v:shape id="Straight Arrow Connector 3" o:spid="_x0000_s1026" type="#_x0000_t32" style="position:absolute;margin-left:49.7pt;margin-top:1.1pt;width:60.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"/>
                  </w:pict>
                </mc:Fallback>
              </mc:AlternateContent>
            </w:r>
          </w:p>
          <w:p w:rsidR="002928E9" w:rsidRPr="00E61D96" w:rsidRDefault="002928E9" w:rsidP="00E4749E">
            <w:pPr>
              <w:tabs>
                <w:tab w:val="num" w:pos="360"/>
              </w:tabs>
              <w:spacing w:line="264" w:lineRule="auto"/>
              <w:ind w:left="-142" w:right="-108"/>
              <w:jc w:val="center"/>
              <w:rPr>
                <w:rFonts w:eastAsia="MS Mincho"/>
                <w:sz w:val="26"/>
                <w:szCs w:val="26"/>
                <w:lang w:eastAsia="ja-JP"/>
              </w:rPr>
            </w:pPr>
            <w:r w:rsidRPr="00E61D96">
              <w:rPr>
                <w:rFonts w:eastAsia="MS Mincho"/>
                <w:sz w:val="26"/>
                <w:szCs w:val="26"/>
                <w:lang w:eastAsia="ja-JP"/>
              </w:rPr>
              <w:t xml:space="preserve">Số: </w:t>
            </w:r>
            <w:r>
              <w:rPr>
                <w:rFonts w:eastAsia="MS Mincho"/>
                <w:sz w:val="26"/>
                <w:szCs w:val="26"/>
                <w:lang w:eastAsia="ja-JP"/>
              </w:rPr>
              <w:t xml:space="preserve">  </w:t>
            </w:r>
            <w:r w:rsidRPr="00E61D96">
              <w:rPr>
                <w:rFonts w:eastAsia="MS Mincho"/>
                <w:sz w:val="26"/>
                <w:szCs w:val="26"/>
                <w:lang w:eastAsia="ja-JP"/>
              </w:rPr>
              <w:t xml:space="preserve">  </w:t>
            </w:r>
            <w:r>
              <w:rPr>
                <w:rFonts w:eastAsia="MS Mincho"/>
                <w:sz w:val="26"/>
                <w:szCs w:val="26"/>
                <w:lang w:eastAsia="ja-JP"/>
              </w:rPr>
              <w:t xml:space="preserve">  </w:t>
            </w:r>
            <w:r w:rsidRPr="00E61D96">
              <w:rPr>
                <w:rFonts w:eastAsia="MS Mincho"/>
                <w:sz w:val="26"/>
                <w:szCs w:val="26"/>
                <w:lang w:eastAsia="ja-JP"/>
              </w:rPr>
              <w:t xml:space="preserve">     /TTr</w:t>
            </w:r>
            <w:r w:rsidR="00E44A98">
              <w:rPr>
                <w:rFonts w:eastAsia="MS Mincho"/>
                <w:sz w:val="26"/>
                <w:szCs w:val="26"/>
                <w:lang w:eastAsia="ja-JP"/>
              </w:rPr>
              <w:t>-BLĐTBXH</w:t>
            </w:r>
          </w:p>
          <w:p w:rsidR="002928E9" w:rsidRPr="00E61D96" w:rsidRDefault="002928E9" w:rsidP="00E4749E">
            <w:pPr>
              <w:tabs>
                <w:tab w:val="num" w:pos="360"/>
              </w:tabs>
              <w:spacing w:line="264" w:lineRule="auto"/>
              <w:ind w:left="-142" w:right="-108"/>
              <w:jc w:val="center"/>
              <w:rPr>
                <w:rFonts w:eastAsia="MS Mincho"/>
                <w:b/>
                <w:sz w:val="24"/>
                <w:szCs w:val="24"/>
                <w:lang w:eastAsia="ja-JP"/>
              </w:rPr>
            </w:pPr>
          </w:p>
        </w:tc>
        <w:tc>
          <w:tcPr>
            <w:tcW w:w="5953" w:type="dxa"/>
          </w:tcPr>
          <w:p w:rsidR="002928E9" w:rsidRPr="00E61D96" w:rsidRDefault="002928E9" w:rsidP="00E4749E">
            <w:pPr>
              <w:tabs>
                <w:tab w:val="num" w:pos="360"/>
              </w:tabs>
              <w:spacing w:line="264" w:lineRule="auto"/>
              <w:ind w:left="-108"/>
              <w:jc w:val="center"/>
              <w:rPr>
                <w:rFonts w:eastAsia="MS Mincho"/>
                <w:b/>
                <w:sz w:val="24"/>
                <w:szCs w:val="24"/>
                <w:lang w:eastAsia="ja-JP"/>
              </w:rPr>
            </w:pPr>
            <w:r w:rsidRPr="00E61D96">
              <w:rPr>
                <w:rFonts w:eastAsia="MS Mincho"/>
                <w:b/>
                <w:sz w:val="24"/>
                <w:szCs w:val="24"/>
              </w:rPr>
              <w:t xml:space="preserve">CỘNG HÒA XÃ HỘI CHỦ NGHĨA VIỆT </w:t>
            </w:r>
            <w:smartTag w:uri="urn:schemas-microsoft-com:office:smarttags" w:element="place">
              <w:smartTag w:uri="urn:schemas-microsoft-com:office:smarttags" w:element="country-region">
                <w:r w:rsidRPr="00E61D96">
                  <w:rPr>
                    <w:rFonts w:eastAsia="MS Mincho"/>
                    <w:b/>
                    <w:sz w:val="24"/>
                    <w:szCs w:val="24"/>
                  </w:rPr>
                  <w:t>NAM</w:t>
                </w:r>
              </w:smartTag>
            </w:smartTag>
          </w:p>
          <w:p w:rsidR="002928E9" w:rsidRPr="00E61D96" w:rsidRDefault="002928E9" w:rsidP="00E4749E">
            <w:pPr>
              <w:tabs>
                <w:tab w:val="num" w:pos="360"/>
              </w:tabs>
              <w:spacing w:line="252" w:lineRule="auto"/>
              <w:ind w:left="-108"/>
              <w:jc w:val="center"/>
              <w:rPr>
                <w:rFonts w:eastAsia="MS Mincho"/>
                <w:b/>
                <w:sz w:val="26"/>
                <w:szCs w:val="26"/>
                <w:lang w:eastAsia="ja-JP"/>
              </w:rPr>
            </w:pPr>
            <w:r w:rsidRPr="00E61D96">
              <w:rPr>
                <w:rFonts w:eastAsia="MS Mincho"/>
                <w:b/>
                <w:sz w:val="26"/>
                <w:szCs w:val="26"/>
              </w:rPr>
              <w:t>Độc lập - Tự do - Hanh phúc</w:t>
            </w:r>
          </w:p>
          <w:p w:rsidR="002928E9" w:rsidRPr="00E61D96" w:rsidRDefault="00337EA1" w:rsidP="00E4749E">
            <w:pPr>
              <w:ind w:left="-108"/>
              <w:jc w:val="center"/>
              <w:rPr>
                <w:rFonts w:eastAsia="MS Mincho"/>
                <w:sz w:val="26"/>
                <w:szCs w:val="26"/>
                <w:lang w:eastAsia="ja-JP"/>
              </w:rPr>
            </w:pPr>
            <w:r w:rsidRPr="00E61D96">
              <w:rPr>
                <w:rFonts w:eastAsia="MS Mincho"/>
                <w:noProof/>
                <w:sz w:val="26"/>
                <w:szCs w:val="26"/>
              </w:rPr>
              <mc:AlternateContent>
                <mc:Choice Requires="wps">
                  <w:drawing>
                    <wp:anchor distT="0" distB="0" distL="114300" distR="114300" simplePos="0" relativeHeight="251660288" behindDoc="0" locked="0" layoutInCell="1" allowOverlap="1" wp14:anchorId="12CAE62C" wp14:editId="0CECCFDF">
                      <wp:simplePos x="0" y="0"/>
                      <wp:positionH relativeFrom="column">
                        <wp:posOffset>777875</wp:posOffset>
                      </wp:positionH>
                      <wp:positionV relativeFrom="paragraph">
                        <wp:posOffset>21590</wp:posOffset>
                      </wp:positionV>
                      <wp:extent cx="19977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87D33" id="Straight Arrow Connector 2" o:spid="_x0000_s1026" type="#_x0000_t32" style="position:absolute;margin-left:61.25pt;margin-top:1.7pt;width:1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mK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"/>
                  </w:pict>
                </mc:Fallback>
              </mc:AlternateContent>
            </w:r>
          </w:p>
          <w:p w:rsidR="002928E9" w:rsidRPr="00E61D96" w:rsidRDefault="002928E9" w:rsidP="005D4E1D">
            <w:pPr>
              <w:tabs>
                <w:tab w:val="left" w:pos="1305"/>
              </w:tabs>
              <w:ind w:left="-108"/>
              <w:jc w:val="center"/>
              <w:rPr>
                <w:rFonts w:eastAsia="MS Mincho"/>
                <w:i/>
                <w:sz w:val="26"/>
                <w:szCs w:val="26"/>
                <w:lang w:eastAsia="ja-JP"/>
              </w:rPr>
            </w:pPr>
            <w:r w:rsidRPr="001A4190">
              <w:rPr>
                <w:rFonts w:eastAsia="MS Mincho"/>
                <w:i/>
                <w:szCs w:val="26"/>
                <w:lang w:eastAsia="ja-JP"/>
              </w:rPr>
              <w:t>Hà Nội, ngày      tháng</w:t>
            </w:r>
            <w:r w:rsidR="005D4E1D">
              <w:rPr>
                <w:rFonts w:eastAsia="MS Mincho"/>
                <w:i/>
                <w:szCs w:val="26"/>
                <w:lang w:eastAsia="ja-JP"/>
              </w:rPr>
              <w:t xml:space="preserve"> 11 </w:t>
            </w:r>
            <w:r w:rsidRPr="001A4190">
              <w:rPr>
                <w:rFonts w:eastAsia="MS Mincho"/>
                <w:i/>
                <w:szCs w:val="26"/>
                <w:lang w:eastAsia="ja-JP"/>
              </w:rPr>
              <w:t>năm 2024</w:t>
            </w:r>
          </w:p>
        </w:tc>
      </w:tr>
    </w:tbl>
    <w:p w:rsidR="002928E9" w:rsidRPr="00E61D96" w:rsidRDefault="009A4F6A" w:rsidP="002928E9">
      <w:pPr>
        <w:spacing w:before="240" w:after="120"/>
        <w:jc w:val="center"/>
        <w:rPr>
          <w:rFonts w:eastAsia="MS Mincho"/>
          <w:b/>
          <w:lang w:eastAsia="ja-JP"/>
        </w:rPr>
      </w:pPr>
      <w:r>
        <w:rPr>
          <w:rFonts w:eastAsia="MS Mincho"/>
          <w:b/>
          <w:noProof/>
        </w:rPr>
        <mc:AlternateContent>
          <mc:Choice Requires="wps">
            <w:drawing>
              <wp:anchor distT="0" distB="0" distL="114300" distR="114300" simplePos="0" relativeHeight="251662336" behindDoc="0" locked="0" layoutInCell="1" allowOverlap="1" wp14:anchorId="522F88AC" wp14:editId="049B17EA">
                <wp:simplePos x="0" y="0"/>
                <wp:positionH relativeFrom="column">
                  <wp:posOffset>24765</wp:posOffset>
                </wp:positionH>
                <wp:positionV relativeFrom="paragraph">
                  <wp:posOffset>54610</wp:posOffset>
                </wp:positionV>
                <wp:extent cx="1351915" cy="327660"/>
                <wp:effectExtent l="0" t="0" r="19685" b="15240"/>
                <wp:wrapNone/>
                <wp:docPr id="4" name="Rectangle 4"/>
                <wp:cNvGraphicFramePr/>
                <a:graphic xmlns:a="http://schemas.openxmlformats.org/drawingml/2006/main">
                  <a:graphicData uri="http://schemas.microsoft.com/office/word/2010/wordprocessingShape">
                    <wps:wsp>
                      <wps:cNvSpPr/>
                      <wps:spPr>
                        <a:xfrm>
                          <a:off x="0" y="0"/>
                          <a:ext cx="1351915" cy="327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41F7" w:rsidRPr="007B007B" w:rsidRDefault="004441F7" w:rsidP="007B007B">
                            <w:pPr>
                              <w:shd w:val="clear" w:color="auto" w:fill="FFFFFF" w:themeFill="background1"/>
                              <w:jc w:val="center"/>
                              <w:rPr>
                                <w:b/>
                              </w:rPr>
                            </w:pPr>
                            <w:r w:rsidRPr="007B007B">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F88AC" id="Rectangle 4" o:spid="_x0000_s1026" style="position:absolute;left:0;text-align:left;margin-left:1.95pt;margin-top:4.3pt;width:106.45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" filled="f" strokecolor="black [3213]" strokeweight="1pt">
                <v:textbox>
                  <w:txbxContent>
                    <w:p w:rsidR="004441F7" w:rsidRPr="007B007B" w:rsidRDefault="004441F7" w:rsidP="007B007B">
                      <w:pPr>
                        <w:shd w:val="clear" w:color="auto" w:fill="FFFFFF" w:themeFill="background1"/>
                        <w:jc w:val="center"/>
                        <w:rPr>
                          <w:b/>
                        </w:rPr>
                      </w:pPr>
                      <w:r w:rsidRPr="007B007B">
                        <w:rPr>
                          <w:b/>
                        </w:rPr>
                        <w:t>DỰ THẢO</w:t>
                      </w:r>
                    </w:p>
                  </w:txbxContent>
                </v:textbox>
              </v:rect>
            </w:pict>
          </mc:Fallback>
        </mc:AlternateContent>
      </w:r>
      <w:r w:rsidR="002928E9" w:rsidRPr="00E61D96">
        <w:rPr>
          <w:rFonts w:eastAsia="MS Mincho"/>
          <w:b/>
          <w:lang w:eastAsia="ja-JP"/>
        </w:rPr>
        <w:t>TỜ TRÌNH</w:t>
      </w:r>
    </w:p>
    <w:p w:rsidR="005D4E1D" w:rsidRDefault="00993010" w:rsidP="002928E9">
      <w:pPr>
        <w:jc w:val="center"/>
        <w:rPr>
          <w:b/>
          <w:lang w:val="vi-VN"/>
        </w:rPr>
      </w:pPr>
      <w:r>
        <w:rPr>
          <w:rFonts w:eastAsia="MS Mincho"/>
          <w:b/>
          <w:lang w:eastAsia="ja-JP"/>
        </w:rPr>
        <w:t xml:space="preserve">Về </w:t>
      </w:r>
      <w:r w:rsidR="00E44A98">
        <w:rPr>
          <w:rFonts w:eastAsia="MS Mincho"/>
          <w:b/>
          <w:lang w:eastAsia="ja-JP"/>
        </w:rPr>
        <w:t>Nghị định q</w:t>
      </w:r>
      <w:r w:rsidR="00E44A98" w:rsidRPr="00E44A98">
        <w:rPr>
          <w:b/>
          <w:lang w:val="vi-VN"/>
        </w:rPr>
        <w:t>uy định chi tiết và hướ</w:t>
      </w:r>
      <w:r w:rsidR="005D4E1D">
        <w:rPr>
          <w:b/>
          <w:lang w:val="vi-VN"/>
        </w:rPr>
        <w:t>ng dẫn thi hành một số điều của</w:t>
      </w:r>
    </w:p>
    <w:p w:rsidR="002928E9" w:rsidRDefault="00E44A98" w:rsidP="002928E9">
      <w:pPr>
        <w:jc w:val="center"/>
        <w:rPr>
          <w:b/>
        </w:rPr>
      </w:pPr>
      <w:r w:rsidRPr="00E44A98">
        <w:rPr>
          <w:b/>
          <w:lang w:val="vi-VN"/>
        </w:rPr>
        <w:t>Luật Bảo hiểm xã hội về bảo hiểm xã hội bắt buộc</w:t>
      </w:r>
    </w:p>
    <w:p w:rsidR="002928E9" w:rsidRPr="007B007B" w:rsidRDefault="000047AE" w:rsidP="007B007B">
      <w:pPr>
        <w:spacing w:before="120" w:line="247" w:lineRule="auto"/>
        <w:jc w:val="center"/>
        <w:rPr>
          <w:rFonts w:eastAsia="MS Mincho"/>
          <w:sz w:val="26"/>
          <w:lang w:eastAsia="ja-JP"/>
        </w:rPr>
      </w:pPr>
      <w:r w:rsidRPr="007B007B">
        <w:rPr>
          <w:rFonts w:eastAsia="MS Mincho"/>
          <w:noProof/>
          <w:sz w:val="26"/>
        </w:rPr>
        <mc:AlternateContent>
          <mc:Choice Requires="wps">
            <w:drawing>
              <wp:anchor distT="0" distB="0" distL="114300" distR="114300" simplePos="0" relativeHeight="251661312" behindDoc="0" locked="0" layoutInCell="1" allowOverlap="1" wp14:anchorId="4CF10EED" wp14:editId="56D6664C">
                <wp:simplePos x="0" y="0"/>
                <wp:positionH relativeFrom="column">
                  <wp:posOffset>2186305</wp:posOffset>
                </wp:positionH>
                <wp:positionV relativeFrom="paragraph">
                  <wp:posOffset>19685</wp:posOffset>
                </wp:positionV>
                <wp:extent cx="1411605" cy="0"/>
                <wp:effectExtent l="0" t="0" r="361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B1A9E" id="_x0000_t32" coordsize="21600,21600" o:spt="32" o:oned="t" path="m,l21600,21600e" filled="f">
                <v:path arrowok="t" fillok="f" o:connecttype="none"/>
                <o:lock v:ext="edit" shapetype="t"/>
              </v:shapetype>
              <v:shape id="Straight Arrow Connector 1" o:spid="_x0000_s1026" type="#_x0000_t32" style="position:absolute;margin-left:172.15pt;margin-top:1.55pt;width:11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CkJQIAAEo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"/>
            </w:pict>
          </mc:Fallback>
        </mc:AlternateContent>
      </w:r>
    </w:p>
    <w:p w:rsidR="002928E9" w:rsidRDefault="002928E9" w:rsidP="002928E9">
      <w:pPr>
        <w:spacing w:before="120" w:after="120" w:line="247" w:lineRule="auto"/>
        <w:jc w:val="center"/>
        <w:rPr>
          <w:rFonts w:eastAsia="MS Mincho"/>
          <w:lang w:eastAsia="ja-JP"/>
        </w:rPr>
      </w:pPr>
      <w:r w:rsidRPr="00E61D96">
        <w:rPr>
          <w:rFonts w:eastAsia="MS Mincho"/>
          <w:lang w:eastAsia="ja-JP"/>
        </w:rPr>
        <w:t xml:space="preserve">Kính gửi: </w:t>
      </w:r>
      <w:r w:rsidR="00E44A98">
        <w:rPr>
          <w:rFonts w:eastAsia="MS Mincho"/>
          <w:lang w:eastAsia="ja-JP"/>
        </w:rPr>
        <w:t>Chính phủ</w:t>
      </w:r>
    </w:p>
    <w:p w:rsidR="002928E9" w:rsidRPr="007B007B" w:rsidRDefault="002928E9" w:rsidP="002928E9">
      <w:pPr>
        <w:spacing w:before="120" w:after="120" w:line="247" w:lineRule="auto"/>
        <w:jc w:val="center"/>
        <w:rPr>
          <w:rFonts w:eastAsia="MS Mincho"/>
          <w:sz w:val="20"/>
          <w:lang w:eastAsia="ja-JP"/>
        </w:rPr>
      </w:pPr>
    </w:p>
    <w:p w:rsidR="00274FFD" w:rsidRPr="00C037D0" w:rsidRDefault="00274FFD" w:rsidP="007B007B">
      <w:pPr>
        <w:spacing w:before="120" w:line="281" w:lineRule="auto"/>
        <w:ind w:firstLine="709"/>
        <w:jc w:val="both"/>
        <w:rPr>
          <w:lang w:val="af-ZA"/>
        </w:rPr>
      </w:pPr>
      <w:bookmarkStart w:id="0" w:name="_GoBack"/>
      <w:r>
        <w:t xml:space="preserve">Thực hiện </w:t>
      </w:r>
      <w:r w:rsidRPr="00CA1E5B">
        <w:rPr>
          <w:lang w:val="af-ZA"/>
        </w:rPr>
        <w:t xml:space="preserve">Quyết định số </w:t>
      </w:r>
      <w:r>
        <w:rPr>
          <w:lang w:val="af-ZA"/>
        </w:rPr>
        <w:t>717</w:t>
      </w:r>
      <w:r w:rsidRPr="00CA1E5B">
        <w:rPr>
          <w:lang w:val="af-ZA"/>
        </w:rPr>
        <w:t xml:space="preserve">/QĐ-TTg </w:t>
      </w:r>
      <w:r>
        <w:rPr>
          <w:lang w:val="af-ZA"/>
        </w:rPr>
        <w:t xml:space="preserve">ngày 27/7/2024 của </w:t>
      </w:r>
      <w:r>
        <w:t>Thủ tướng Chính phủ ban hành Danh mục và</w:t>
      </w:r>
      <w:r>
        <w:rPr>
          <w:lang w:val="af-ZA"/>
        </w:rPr>
        <w:t xml:space="preserve"> </w:t>
      </w:r>
      <w:r w:rsidRPr="00CA1E5B">
        <w:rPr>
          <w:lang w:val="af-ZA"/>
        </w:rPr>
        <w:t>phân công cơ quan chủ trì soạn thảo</w:t>
      </w:r>
      <w:r>
        <w:rPr>
          <w:lang w:val="af-ZA"/>
        </w:rPr>
        <w:t xml:space="preserve"> văn bản quy định chi tiết thi hành các luật, nghị quyết được Quốc hội khoá XV thông qua tại Kỳ họp 7; </w:t>
      </w:r>
      <w:r w:rsidR="007B007B">
        <w:rPr>
          <w:lang w:val="af-ZA"/>
        </w:rPr>
        <w:t>Quyết định số 1370/QĐ-TTg ngày 12</w:t>
      </w:r>
      <w:r w:rsidR="00E249A0" w:rsidRPr="007B007B">
        <w:rPr>
          <w:lang w:val="af-ZA"/>
        </w:rPr>
        <w:t>/</w:t>
      </w:r>
      <w:r w:rsidR="007B007B">
        <w:rPr>
          <w:lang w:val="af-ZA"/>
        </w:rPr>
        <w:t>11</w:t>
      </w:r>
      <w:r w:rsidR="00E249A0" w:rsidRPr="007B007B">
        <w:rPr>
          <w:lang w:val="af-ZA"/>
        </w:rPr>
        <w:t>/2024</w:t>
      </w:r>
      <w:r w:rsidR="00E249A0">
        <w:rPr>
          <w:lang w:val="af-ZA"/>
        </w:rPr>
        <w:t xml:space="preserve"> của </w:t>
      </w:r>
      <w:r w:rsidR="00E249A0">
        <w:t>Thủ tướng Chính phủ</w:t>
      </w:r>
      <w:r w:rsidR="007A4E69">
        <w:t xml:space="preserve"> Ban hành Kế hoạch triển khai thi hành Luật Bảo hiểm xã hội và Nghị quyết số 142/2024/QH15 của Quốc hội</w:t>
      </w:r>
      <w:bookmarkEnd w:id="0"/>
      <w:r w:rsidR="007A4E69">
        <w:t>;</w:t>
      </w:r>
      <w:r w:rsidR="00E249A0">
        <w:rPr>
          <w:lang w:val="af-ZA"/>
        </w:rPr>
        <w:t xml:space="preserve"> </w:t>
      </w:r>
      <w:r>
        <w:rPr>
          <w:lang w:val="af-ZA"/>
        </w:rPr>
        <w:t xml:space="preserve">sau khi lấy ý kiến các Bộ, ngành, địa phương và </w:t>
      </w:r>
      <w:r w:rsidRPr="00717DD4">
        <w:rPr>
          <w:lang w:val="pt-BR"/>
        </w:rPr>
        <w:t xml:space="preserve">và ý kiến thẩm định của Bộ Tư pháp tại văn </w:t>
      </w:r>
      <w:r>
        <w:rPr>
          <w:lang w:val="pt-BR"/>
        </w:rPr>
        <w:t xml:space="preserve">bản </w:t>
      </w:r>
      <w:r w:rsidRPr="00717DD4">
        <w:rPr>
          <w:lang w:val="pt-BR"/>
        </w:rPr>
        <w:t>số</w:t>
      </w:r>
      <w:r>
        <w:rPr>
          <w:lang w:val="pt-BR"/>
        </w:rPr>
        <w:t xml:space="preserve">    </w:t>
      </w:r>
      <w:r w:rsidRPr="00717DD4">
        <w:rPr>
          <w:lang w:val="pt-BR"/>
        </w:rPr>
        <w:t xml:space="preserve">/BTP-PLDSKT ngày </w:t>
      </w:r>
      <w:r>
        <w:rPr>
          <w:lang w:val="pt-BR"/>
        </w:rPr>
        <w:t xml:space="preserve">   </w:t>
      </w:r>
      <w:r w:rsidRPr="00717DD4">
        <w:rPr>
          <w:lang w:val="pt-BR"/>
        </w:rPr>
        <w:t xml:space="preserve"> tháng </w:t>
      </w:r>
      <w:r>
        <w:rPr>
          <w:lang w:val="pt-BR"/>
        </w:rPr>
        <w:t xml:space="preserve">   </w:t>
      </w:r>
      <w:r w:rsidRPr="00717DD4">
        <w:rPr>
          <w:lang w:val="pt-BR"/>
        </w:rPr>
        <w:t xml:space="preserve"> năm 20</w:t>
      </w:r>
      <w:r>
        <w:rPr>
          <w:lang w:val="pt-BR"/>
        </w:rPr>
        <w:t xml:space="preserve">24, </w:t>
      </w:r>
      <w:r>
        <w:rPr>
          <w:lang w:val="af-ZA"/>
        </w:rPr>
        <w:t>Bộ Lao động - Thương binh và Xã hội kính trình Chính phủ dự thảo Nghị định q</w:t>
      </w:r>
      <w:r w:rsidRPr="00C037D0">
        <w:rPr>
          <w:lang w:val="af-ZA"/>
        </w:rPr>
        <w:t>uy định chi tiết và hướng dẫn thi hành một số điều của Luật Bảo hiểm xã hội về bảo hiểm xã hội bắt buộc</w:t>
      </w:r>
      <w:r>
        <w:rPr>
          <w:lang w:val="af-ZA"/>
        </w:rPr>
        <w:t xml:space="preserve"> như sau: </w:t>
      </w:r>
    </w:p>
    <w:p w:rsidR="002928E9" w:rsidRPr="006067BC" w:rsidRDefault="002928E9"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rPr>
          <w:b/>
          <w:sz w:val="24"/>
          <w:szCs w:val="26"/>
        </w:rPr>
      </w:pPr>
      <w:r w:rsidRPr="006067BC">
        <w:rPr>
          <w:b/>
          <w:sz w:val="24"/>
          <w:szCs w:val="26"/>
        </w:rPr>
        <w:t xml:space="preserve">I. </w:t>
      </w:r>
      <w:r w:rsidR="00073BCC" w:rsidRPr="006067BC">
        <w:rPr>
          <w:b/>
          <w:sz w:val="24"/>
          <w:szCs w:val="26"/>
        </w:rPr>
        <w:t xml:space="preserve">SỰ CẦN THIẾT </w:t>
      </w:r>
      <w:r w:rsidR="001A0081">
        <w:rPr>
          <w:b/>
          <w:sz w:val="24"/>
          <w:szCs w:val="26"/>
        </w:rPr>
        <w:t>XÂY DỰNG</w:t>
      </w:r>
      <w:r w:rsidR="00073BCC" w:rsidRPr="006067BC">
        <w:rPr>
          <w:b/>
          <w:sz w:val="24"/>
          <w:szCs w:val="26"/>
        </w:rPr>
        <w:t> NGHỊ ĐỊNH</w:t>
      </w:r>
    </w:p>
    <w:p w:rsidR="00AA113C" w:rsidRDefault="00523194" w:rsidP="007B007B">
      <w:pPr>
        <w:tabs>
          <w:tab w:val="left" w:pos="709"/>
        </w:tabs>
        <w:spacing w:before="120" w:line="281" w:lineRule="auto"/>
        <w:ind w:firstLine="567"/>
        <w:jc w:val="both"/>
      </w:pPr>
      <w:r w:rsidRPr="00292195">
        <w:rPr>
          <w:bCs/>
        </w:rPr>
        <w:t>Ngày 29</w:t>
      </w:r>
      <w:r w:rsidR="001A0081">
        <w:rPr>
          <w:bCs/>
        </w:rPr>
        <w:t>/</w:t>
      </w:r>
      <w:r w:rsidRPr="00292195">
        <w:rPr>
          <w:bCs/>
        </w:rPr>
        <w:t>6</w:t>
      </w:r>
      <w:r w:rsidR="001A0081">
        <w:rPr>
          <w:bCs/>
        </w:rPr>
        <w:t>/</w:t>
      </w:r>
      <w:r w:rsidRPr="00292195">
        <w:rPr>
          <w:bCs/>
        </w:rPr>
        <w:t xml:space="preserve">2024, tại Kỳ họp thứ 7, Quốc hội </w:t>
      </w:r>
      <w:r w:rsidR="00E249A0">
        <w:rPr>
          <w:bCs/>
        </w:rPr>
        <w:t xml:space="preserve">khóa XV </w:t>
      </w:r>
      <w:r w:rsidRPr="00292195">
        <w:rPr>
          <w:bCs/>
        </w:rPr>
        <w:t>đã thông qua Luật Bảo hiểm xã hội số 41/2024/QH15</w:t>
      </w:r>
      <w:r w:rsidR="00D51E09">
        <w:rPr>
          <w:bCs/>
        </w:rPr>
        <w:t xml:space="preserve"> </w:t>
      </w:r>
      <w:r w:rsidR="00BF4E35">
        <w:rPr>
          <w:bCs/>
        </w:rPr>
        <w:t xml:space="preserve">(sau đây được viết là </w:t>
      </w:r>
      <w:r w:rsidR="00BF4E35">
        <w:t xml:space="preserve">Luật BHXH số </w:t>
      </w:r>
      <w:r w:rsidR="00BF4E35" w:rsidRPr="00292195">
        <w:rPr>
          <w:bCs/>
        </w:rPr>
        <w:t>41/2024/QH15</w:t>
      </w:r>
      <w:r w:rsidR="00BF4E35">
        <w:rPr>
          <w:bCs/>
        </w:rPr>
        <w:t xml:space="preserve">) </w:t>
      </w:r>
      <w:r w:rsidR="00D51E09">
        <w:rPr>
          <w:bCs/>
        </w:rPr>
        <w:t xml:space="preserve">và </w:t>
      </w:r>
      <w:r w:rsidRPr="00292195">
        <w:rPr>
          <w:bCs/>
        </w:rPr>
        <w:t>có hiệu lực thi hành từ ngày 01</w:t>
      </w:r>
      <w:r w:rsidR="001A0081">
        <w:rPr>
          <w:bCs/>
        </w:rPr>
        <w:t>/</w:t>
      </w:r>
      <w:r w:rsidRPr="00292195">
        <w:rPr>
          <w:bCs/>
        </w:rPr>
        <w:t>7</w:t>
      </w:r>
      <w:r w:rsidR="001A0081">
        <w:rPr>
          <w:bCs/>
        </w:rPr>
        <w:t>/</w:t>
      </w:r>
      <w:r w:rsidRPr="00292195">
        <w:rPr>
          <w:bCs/>
        </w:rPr>
        <w:t>2025.</w:t>
      </w:r>
      <w:r w:rsidR="00D51E09">
        <w:rPr>
          <w:bCs/>
        </w:rPr>
        <w:t xml:space="preserve"> </w:t>
      </w:r>
      <w:r w:rsidR="00D51E09" w:rsidRPr="00292195">
        <w:rPr>
          <w:bCs/>
        </w:rPr>
        <w:t xml:space="preserve">Luật </w:t>
      </w:r>
      <w:r w:rsidR="00BF4E35">
        <w:rPr>
          <w:bCs/>
        </w:rPr>
        <w:t>BHXH</w:t>
      </w:r>
      <w:r w:rsidR="00D51E09" w:rsidRPr="00292195">
        <w:rPr>
          <w:bCs/>
        </w:rPr>
        <w:t xml:space="preserve"> số 41/2024/QH15</w:t>
      </w:r>
      <w:r w:rsidR="00D51E09">
        <w:rPr>
          <w:bCs/>
        </w:rPr>
        <w:t xml:space="preserve"> được xây dựng nhằm b</w:t>
      </w:r>
      <w:r w:rsidR="00D51E09" w:rsidRPr="00F350CC">
        <w:rPr>
          <w:color w:val="000000"/>
          <w:lang w:val="vi-VN"/>
        </w:rPr>
        <w:t xml:space="preserve">ảo đảm an sinh xã hội theo quy định của Hiến pháp và thể chế hóa các </w:t>
      </w:r>
      <w:r w:rsidR="00D51E09">
        <w:rPr>
          <w:color w:val="000000"/>
        </w:rPr>
        <w:t xml:space="preserve">quan điểm, định hướng, </w:t>
      </w:r>
      <w:r w:rsidR="00D51E09" w:rsidRPr="00F350CC">
        <w:rPr>
          <w:color w:val="000000"/>
          <w:lang w:val="vi-VN"/>
        </w:rPr>
        <w:t xml:space="preserve">nội dung </w:t>
      </w:r>
      <w:r w:rsidR="00D51E09">
        <w:rPr>
          <w:color w:val="000000"/>
        </w:rPr>
        <w:t xml:space="preserve">cải cách </w:t>
      </w:r>
      <w:r w:rsidR="00D51E09" w:rsidRPr="00F350CC">
        <w:rPr>
          <w:color w:val="000000"/>
          <w:lang w:val="vi-VN"/>
        </w:rPr>
        <w:t xml:space="preserve">trong </w:t>
      </w:r>
      <w:r w:rsidR="00D51E09">
        <w:rPr>
          <w:color w:val="000000"/>
        </w:rPr>
        <w:t>các văn kiện, nghị quyết của Đảng và Nhà nước</w:t>
      </w:r>
      <w:r w:rsidR="00AA113C">
        <w:rPr>
          <w:color w:val="000000"/>
        </w:rPr>
        <w:t>;</w:t>
      </w:r>
      <w:r w:rsidR="00D51E09">
        <w:rPr>
          <w:color w:val="000000"/>
        </w:rPr>
        <w:t xml:space="preserve"> </w:t>
      </w:r>
      <w:r w:rsidR="00AA113C">
        <w:rPr>
          <w:color w:val="000000"/>
        </w:rPr>
        <w:t xml:space="preserve">phát triển hệ thống </w:t>
      </w:r>
      <w:r w:rsidR="00BF4E35">
        <w:rPr>
          <w:color w:val="000000"/>
        </w:rPr>
        <w:t xml:space="preserve">bảo hiểm xã hội (sau đây được viết là </w:t>
      </w:r>
      <w:r w:rsidR="00AA113C">
        <w:rPr>
          <w:color w:val="000000"/>
        </w:rPr>
        <w:t>BHXH</w:t>
      </w:r>
      <w:r w:rsidR="00BF4E35">
        <w:rPr>
          <w:color w:val="000000"/>
        </w:rPr>
        <w:t>)</w:t>
      </w:r>
      <w:r w:rsidR="00AA113C" w:rsidRPr="00F350CC">
        <w:rPr>
          <w:color w:val="000000"/>
          <w:lang w:val="vi-VN"/>
        </w:rPr>
        <w:t xml:space="preserve"> theo hướng đa dạng, linh hoạt, đa tầng</w:t>
      </w:r>
      <w:r w:rsidR="00AA113C" w:rsidRPr="00F350CC">
        <w:rPr>
          <w:color w:val="000000"/>
          <w:lang w:val="pt-BR"/>
        </w:rPr>
        <w:t>,</w:t>
      </w:r>
      <w:r w:rsidR="00AA113C" w:rsidRPr="00F350CC">
        <w:rPr>
          <w:color w:val="000000"/>
          <w:lang w:val="vi-VN"/>
        </w:rPr>
        <w:t xml:space="preserve"> hiện đại, hội nhập quốc tế, tiến tới bao phủ BHXH </w:t>
      </w:r>
      <w:r w:rsidR="00AA113C">
        <w:rPr>
          <w:color w:val="000000"/>
        </w:rPr>
        <w:t xml:space="preserve">đối với </w:t>
      </w:r>
      <w:r w:rsidR="00AA113C" w:rsidRPr="00F350CC">
        <w:rPr>
          <w:color w:val="000000"/>
          <w:lang w:val="vi-VN"/>
        </w:rPr>
        <w:t>toàn bộ l</w:t>
      </w:r>
      <w:r w:rsidR="00AA113C" w:rsidRPr="00F350CC">
        <w:rPr>
          <w:color w:val="000000"/>
          <w:lang w:val="pt-BR"/>
        </w:rPr>
        <w:t>ự</w:t>
      </w:r>
      <w:r w:rsidR="00AA113C" w:rsidRPr="00F350CC">
        <w:rPr>
          <w:color w:val="000000"/>
          <w:lang w:val="vi-VN"/>
        </w:rPr>
        <w:t>c lượng lao động</w:t>
      </w:r>
      <w:r w:rsidR="00AA113C">
        <w:rPr>
          <w:color w:val="000000"/>
        </w:rPr>
        <w:t xml:space="preserve">; </w:t>
      </w:r>
      <w:r w:rsidR="00D51E09">
        <w:rPr>
          <w:color w:val="000000"/>
        </w:rPr>
        <w:t>s</w:t>
      </w:r>
      <w:r w:rsidR="00D51E09" w:rsidRPr="00F350CC">
        <w:rPr>
          <w:color w:val="000000"/>
          <w:lang w:val="vi-VN"/>
        </w:rPr>
        <w:t>ửa đổi căn bản các vướng mắc, bất cập từ thực tiễn</w:t>
      </w:r>
      <w:r w:rsidR="00D51E09">
        <w:rPr>
          <w:color w:val="000000"/>
        </w:rPr>
        <w:t>;</w:t>
      </w:r>
      <w:r w:rsidR="00D51E09" w:rsidRPr="00F350CC">
        <w:rPr>
          <w:color w:val="000000"/>
          <w:lang w:val="vi-VN"/>
        </w:rPr>
        <w:t xml:space="preserve"> bảo đảm tính hợp hiến, hợp pháp, tính đồng bộ, thống nhất, có tính khả thi, phù hợp tiêu chuẩn quốc tế</w:t>
      </w:r>
      <w:r w:rsidR="00D51E09">
        <w:rPr>
          <w:color w:val="000000"/>
        </w:rPr>
        <w:t>; m</w:t>
      </w:r>
      <w:r w:rsidR="00D51E09" w:rsidRPr="00F350CC">
        <w:rPr>
          <w:color w:val="000000"/>
          <w:lang w:val="vi-VN"/>
        </w:rPr>
        <w:t>ở rộng, gia tăng quyền, lợi ích, tạo sự hấp dẫn để thu hút người lao động tham gia BHXH; đồng thời, bảo đảm tốt nhất quyền lợi cho người lao động đang làm việc và người hưởng lương hưu.</w:t>
      </w:r>
      <w:r w:rsidR="00E249A0">
        <w:rPr>
          <w:color w:val="000000"/>
        </w:rPr>
        <w:t xml:space="preserve"> </w:t>
      </w:r>
      <w:r w:rsidR="00AA113C" w:rsidRPr="00292195">
        <w:rPr>
          <w:bCs/>
        </w:rPr>
        <w:t xml:space="preserve">Luật </w:t>
      </w:r>
      <w:r w:rsidR="00BF4E35">
        <w:rPr>
          <w:bCs/>
        </w:rPr>
        <w:t>BHXH</w:t>
      </w:r>
      <w:r w:rsidR="00AA113C" w:rsidRPr="00292195">
        <w:rPr>
          <w:bCs/>
        </w:rPr>
        <w:t xml:space="preserve"> số 41/2024/QH15</w:t>
      </w:r>
      <w:r w:rsidR="00AA113C">
        <w:rPr>
          <w:bCs/>
        </w:rPr>
        <w:t xml:space="preserve"> được kết cấu gồm 11 Chương và 141 Điều, trong đó có 56 điều, khoản, nội dung giao Chính phủ quy định chi tiết. Liên quan đến chính sách, chế độ </w:t>
      </w:r>
      <w:r w:rsidR="00C11E83">
        <w:rPr>
          <w:bCs/>
        </w:rPr>
        <w:t>BHXH</w:t>
      </w:r>
      <w:r w:rsidR="00AA113C">
        <w:rPr>
          <w:bCs/>
        </w:rPr>
        <w:t xml:space="preserve"> bắt buộc có 2</w:t>
      </w:r>
      <w:r w:rsidR="001A0081">
        <w:rPr>
          <w:bCs/>
        </w:rPr>
        <w:t>6</w:t>
      </w:r>
      <w:r w:rsidR="00AA113C">
        <w:rPr>
          <w:bCs/>
        </w:rPr>
        <w:t xml:space="preserve"> điều, khoản, nội dung giao Chính phủ quy định chi tiết.</w:t>
      </w:r>
    </w:p>
    <w:p w:rsidR="00073BCC" w:rsidRDefault="00E249A0"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lang w:val="vi-VN"/>
        </w:rPr>
      </w:pPr>
      <w:r>
        <w:lastRenderedPageBreak/>
        <w:t xml:space="preserve">Bên cạnh đó, tại điểm 13 của </w:t>
      </w:r>
      <w:r w:rsidR="00CC59AF" w:rsidRPr="00287B9C">
        <w:rPr>
          <w:spacing w:val="4"/>
          <w:lang w:val="de-DE"/>
        </w:rPr>
        <w:t xml:space="preserve">Nghị quyết số 142/2024/QH15 </w:t>
      </w:r>
      <w:r w:rsidR="00CC59AF">
        <w:rPr>
          <w:spacing w:val="4"/>
          <w:lang w:val="de-DE"/>
        </w:rPr>
        <w:t xml:space="preserve">ngày 29/6/2024 </w:t>
      </w:r>
      <w:r>
        <w:rPr>
          <w:spacing w:val="4"/>
          <w:lang w:val="de-DE"/>
        </w:rPr>
        <w:t xml:space="preserve">của Quốc hội </w:t>
      </w:r>
      <w:r w:rsidR="00CC59AF" w:rsidRPr="00287B9C">
        <w:rPr>
          <w:spacing w:val="4"/>
          <w:lang w:val="de-DE"/>
        </w:rPr>
        <w:t>về Nghị quyết Kỳ họp thứ 7, Quốc hội Khóa XV</w:t>
      </w:r>
      <w:r w:rsidR="002A050E">
        <w:rPr>
          <w:spacing w:val="4"/>
          <w:lang w:val="de-DE"/>
        </w:rPr>
        <w:t xml:space="preserve"> </w:t>
      </w:r>
      <w:r w:rsidR="007A4E69">
        <w:rPr>
          <w:spacing w:val="4"/>
          <w:lang w:val="de-DE"/>
        </w:rPr>
        <w:t xml:space="preserve">(sau đây được viết là </w:t>
      </w:r>
      <w:r w:rsidR="007A4E69" w:rsidRPr="00287B9C">
        <w:rPr>
          <w:spacing w:val="4"/>
          <w:lang w:val="de-DE"/>
        </w:rPr>
        <w:t>Nghị quyết số 142/2024/QH15</w:t>
      </w:r>
      <w:r w:rsidR="007A4E69">
        <w:rPr>
          <w:spacing w:val="4"/>
          <w:lang w:val="de-DE"/>
        </w:rPr>
        <w:t xml:space="preserve">) </w:t>
      </w:r>
      <w:r w:rsidR="002A050E">
        <w:rPr>
          <w:spacing w:val="4"/>
          <w:lang w:val="de-DE"/>
        </w:rPr>
        <w:t xml:space="preserve">đã </w:t>
      </w:r>
      <w:r w:rsidR="002A050E">
        <w:t>g</w:t>
      </w:r>
      <w:r w:rsidR="002A050E" w:rsidRPr="00115BB5">
        <w:rPr>
          <w:lang w:val="vi-VN"/>
        </w:rPr>
        <w:t xml:space="preserve">iao Chính phủ </w:t>
      </w:r>
      <w:r w:rsidR="00073BCC" w:rsidRPr="00073BCC">
        <w:rPr>
          <w:lang w:val="vi-VN"/>
        </w:rPr>
        <w:t xml:space="preserve">quy định đối tượng, điều kiện, mức hỗ trợ, trình tự, thủ tục giải quyết chế độ hưu trí, tử tuất đối với người lao động trong trường hợp người sử dụng lao động không còn khả năng đóng </w:t>
      </w:r>
      <w:r w:rsidR="00E06DBD">
        <w:t>BHXH</w:t>
      </w:r>
      <w:r w:rsidR="00073BCC" w:rsidRPr="00073BCC">
        <w:rPr>
          <w:lang w:val="vi-VN"/>
        </w:rPr>
        <w:t xml:space="preserve"> cho người lao động trước ngày 01/7/2024. Nguồn kinh phí thực hiện từ nguồn thu xử lý chậm đóng, trốn đóng quy định tại khoản 3 Điều 122 của Luật </w:t>
      </w:r>
      <w:r w:rsidR="00E06DBD">
        <w:t>BHXH</w:t>
      </w:r>
      <w:r w:rsidR="00073BCC" w:rsidRPr="00073BCC">
        <w:rPr>
          <w:lang w:val="vi-VN"/>
        </w:rPr>
        <w:t xml:space="preserve"> số 58/2014/QH13 và số tiền 0,03%/ngày thu được theo quy định tại khoản 1 Điều 40 và khoản 1 Điều 41 của Luật </w:t>
      </w:r>
      <w:r w:rsidR="00E06DBD">
        <w:t>BHXH</w:t>
      </w:r>
      <w:r w:rsidR="00073BCC" w:rsidRPr="00073BCC">
        <w:rPr>
          <w:lang w:val="vi-VN"/>
        </w:rPr>
        <w:t xml:space="preserve"> số 41/2024/QH15. Trường hợp cơ quan có thẩm quyền phát hiện người sử dụng lao động vẫn còn khả năng đóng </w:t>
      </w:r>
      <w:r w:rsidR="00E06DBD">
        <w:t>BHXH</w:t>
      </w:r>
      <w:r w:rsidR="00073BCC" w:rsidRPr="00073BCC">
        <w:rPr>
          <w:lang w:val="vi-VN"/>
        </w:rPr>
        <w:t xml:space="preserve"> cho người lao động thì thực hiện truy thu, truy đóng vào quỹ </w:t>
      </w:r>
      <w:r w:rsidR="00E06DBD">
        <w:t>BHXH</w:t>
      </w:r>
      <w:r w:rsidR="00073BCC" w:rsidRPr="00073BCC">
        <w:rPr>
          <w:lang w:val="vi-VN"/>
        </w:rPr>
        <w:t>và xử lý vi phạm theo quy định của pháp luật.</w:t>
      </w:r>
    </w:p>
    <w:p w:rsidR="000F2387" w:rsidRDefault="00E249A0"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i/>
        </w:rPr>
      </w:pPr>
      <w:r>
        <w:rPr>
          <w:lang w:val="af-ZA"/>
        </w:rPr>
        <w:t xml:space="preserve">Như vậy, </w:t>
      </w:r>
      <w:r w:rsidR="00F66729" w:rsidRPr="00F66729">
        <w:rPr>
          <w:i/>
        </w:rPr>
        <w:t xml:space="preserve">việc nghiên cứu, xây dựng Nghị định quy định chi tiết và hướng dẫn thi hành một số điều của Luật BHXH về BHXH bắt buộc là </w:t>
      </w:r>
      <w:r>
        <w:rPr>
          <w:i/>
        </w:rPr>
        <w:t>rất</w:t>
      </w:r>
      <w:r w:rsidR="00F66729" w:rsidRPr="00F66729">
        <w:rPr>
          <w:i/>
        </w:rPr>
        <w:t xml:space="preserve"> cần thiết</w:t>
      </w:r>
      <w:r w:rsidR="00970942" w:rsidRPr="00F66729">
        <w:rPr>
          <w:i/>
        </w:rPr>
        <w:t>.</w:t>
      </w:r>
    </w:p>
    <w:p w:rsidR="002928E9" w:rsidRPr="006067BC" w:rsidRDefault="002928E9"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i/>
          <w:sz w:val="24"/>
          <w:szCs w:val="26"/>
        </w:rPr>
      </w:pPr>
      <w:r w:rsidRPr="006067BC">
        <w:rPr>
          <w:b/>
          <w:sz w:val="24"/>
          <w:szCs w:val="26"/>
        </w:rPr>
        <w:t xml:space="preserve">II. MỤC TIÊU, QUAN ĐIỂM XÂY DỰNG NGHỊ </w:t>
      </w:r>
      <w:r w:rsidR="000C3B82" w:rsidRPr="006067BC">
        <w:rPr>
          <w:b/>
          <w:sz w:val="24"/>
          <w:szCs w:val="26"/>
        </w:rPr>
        <w:t>ĐỊNH</w:t>
      </w:r>
    </w:p>
    <w:p w:rsidR="002928E9" w:rsidRPr="00337EA1" w:rsidRDefault="002928E9"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rsidRPr="00337EA1">
        <w:rPr>
          <w:b/>
        </w:rPr>
        <w:t>1. Mục tiêu</w:t>
      </w:r>
      <w:r w:rsidR="002B1E7A" w:rsidRPr="00337EA1">
        <w:rPr>
          <w:b/>
        </w:rPr>
        <w:t xml:space="preserve"> </w:t>
      </w:r>
    </w:p>
    <w:p w:rsidR="000C3B82" w:rsidRDefault="00514B5B"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t xml:space="preserve">Việc xây dựng và ban hành Nghị định nhằm tiếp tục hoàn thiện cơ sở pháp lý và tổ chức thực hiện chế độ, chính sách BHXH theo quy định của Luật BHXH số </w:t>
      </w:r>
      <w:r w:rsidRPr="00292195">
        <w:rPr>
          <w:bCs/>
        </w:rPr>
        <w:t>41/2024/QH15</w:t>
      </w:r>
      <w:r>
        <w:rPr>
          <w:bCs/>
        </w:rPr>
        <w:t xml:space="preserve"> và tạo sự thống nhất, đồng bộ giữa các văn bản quy phạm pháp luật</w:t>
      </w:r>
      <w:r w:rsidR="009B7192">
        <w:rPr>
          <w:bCs/>
        </w:rPr>
        <w:t xml:space="preserve"> có liên quan</w:t>
      </w:r>
      <w:r>
        <w:rPr>
          <w:bCs/>
        </w:rPr>
        <w:t>.</w:t>
      </w:r>
    </w:p>
    <w:p w:rsidR="002928E9" w:rsidRPr="00337EA1" w:rsidRDefault="000C3B82"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b/>
        </w:rPr>
      </w:pPr>
      <w:r>
        <w:rPr>
          <w:b/>
        </w:rPr>
        <w:t>2. Quan điểm xây dựng Nghị định</w:t>
      </w:r>
    </w:p>
    <w:p w:rsidR="000C3B82" w:rsidRDefault="000C3B82"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bCs/>
        </w:rPr>
      </w:pPr>
      <w:r>
        <w:t xml:space="preserve">- Bám sát chủ trương, định hướng, </w:t>
      </w:r>
      <w:r w:rsidR="007A4E69">
        <w:t xml:space="preserve">quan điểm chỉ đạo </w:t>
      </w:r>
      <w:r>
        <w:t xml:space="preserve">trong quá trình xây dựng Luật BHXH số </w:t>
      </w:r>
      <w:r w:rsidRPr="00292195">
        <w:rPr>
          <w:bCs/>
        </w:rPr>
        <w:t>41/2024/QH15</w:t>
      </w:r>
      <w:r>
        <w:rPr>
          <w:bCs/>
        </w:rPr>
        <w:t>;</w:t>
      </w:r>
      <w:r w:rsidR="007A4E69">
        <w:rPr>
          <w:bCs/>
        </w:rPr>
        <w:t xml:space="preserve"> đảm bảo quy định chi tiết, đầy đủ các nội dung </w:t>
      </w:r>
      <w:r w:rsidR="007A4E69">
        <w:t xml:space="preserve">Luật BHXH số </w:t>
      </w:r>
      <w:r w:rsidR="007A4E69" w:rsidRPr="00292195">
        <w:rPr>
          <w:bCs/>
        </w:rPr>
        <w:t>41/2024/QH15</w:t>
      </w:r>
      <w:r w:rsidR="007A4E69">
        <w:rPr>
          <w:bCs/>
        </w:rPr>
        <w:t xml:space="preserve"> và </w:t>
      </w:r>
      <w:r w:rsidR="007A4E69" w:rsidRPr="00287B9C">
        <w:rPr>
          <w:spacing w:val="4"/>
          <w:lang w:val="de-DE"/>
        </w:rPr>
        <w:t>Nghị quyết số 142/2024/QH15</w:t>
      </w:r>
      <w:r w:rsidR="004E0E65">
        <w:rPr>
          <w:spacing w:val="4"/>
          <w:lang w:val="de-DE"/>
        </w:rPr>
        <w:t xml:space="preserve"> giao Chính phủ quy định chi tiết.</w:t>
      </w:r>
    </w:p>
    <w:p w:rsidR="000C3B82" w:rsidRPr="001A0081" w:rsidRDefault="000C3B82"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bCs/>
        </w:rPr>
      </w:pPr>
      <w:r>
        <w:rPr>
          <w:bCs/>
        </w:rPr>
        <w:t xml:space="preserve">- Thực hiện đúng quy định của Luật ban hành văn bản quy phạm pháp luật và các văn bản </w:t>
      </w:r>
      <w:r w:rsidRPr="001A0081">
        <w:rPr>
          <w:bCs/>
        </w:rPr>
        <w:t>hướng dẫn có liên quan; bảo đảm thực hiện đúng</w:t>
      </w:r>
      <w:r w:rsidR="00514B5B" w:rsidRPr="001A0081">
        <w:rPr>
          <w:bCs/>
        </w:rPr>
        <w:t xml:space="preserve"> kế hoạch,</w:t>
      </w:r>
      <w:r w:rsidRPr="001A0081">
        <w:rPr>
          <w:bCs/>
        </w:rPr>
        <w:t xml:space="preserve"> thời hạn được giao</w:t>
      </w:r>
      <w:r w:rsidR="00514B5B" w:rsidRPr="001A0081">
        <w:rPr>
          <w:bCs/>
        </w:rPr>
        <w:t>;</w:t>
      </w:r>
    </w:p>
    <w:p w:rsidR="007A4E69" w:rsidRPr="001A0081" w:rsidRDefault="00514B5B"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bCs/>
        </w:rPr>
      </w:pPr>
      <w:r w:rsidRPr="001A0081">
        <w:rPr>
          <w:bCs/>
        </w:rPr>
        <w:t>- Tham khảo và kế thừa chọn lọc các quy định hiện hành</w:t>
      </w:r>
      <w:r w:rsidR="007A4E69" w:rsidRPr="001A0081">
        <w:rPr>
          <w:rFonts w:eastAsia="Calibri"/>
          <w:color w:val="000000"/>
          <w:lang w:val="nl-NL"/>
        </w:rPr>
        <w:t xml:space="preserve"> phù hợp đã được kiểm nghiệm trong thực tiễn, sửa đổi các quy định chưa phù hợp, bảo đảm tính khả thi, dài hạn, bảo đảm tính đồng bộ, thống nhất của hệ thống pháp luật; </w:t>
      </w:r>
    </w:p>
    <w:p w:rsidR="007505F2" w:rsidRDefault="00984FFA"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rsidRPr="001A0081">
        <w:t>-</w:t>
      </w:r>
      <w:r w:rsidR="00514B5B" w:rsidRPr="001A0081">
        <w:t xml:space="preserve"> Nội dung dự thảo Nghị định rõ ràng, cụ thể, chi tiết và khả thi; bảo đảm thuận tiện trong quá trình</w:t>
      </w:r>
      <w:r w:rsidR="00514B5B">
        <w:t xml:space="preserve"> tổ chức thực hiện</w:t>
      </w:r>
      <w:r w:rsidR="007505F2">
        <w:t>.</w:t>
      </w:r>
    </w:p>
    <w:p w:rsidR="006067BC" w:rsidRDefault="0035281D"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rPr>
          <w:b/>
          <w:sz w:val="24"/>
          <w:szCs w:val="26"/>
        </w:rPr>
      </w:pPr>
      <w:r w:rsidRPr="006067BC">
        <w:rPr>
          <w:b/>
          <w:sz w:val="24"/>
          <w:szCs w:val="26"/>
        </w:rPr>
        <w:lastRenderedPageBreak/>
        <w:t xml:space="preserve">III. </w:t>
      </w:r>
      <w:r w:rsidR="006067BC" w:rsidRPr="006067BC">
        <w:rPr>
          <w:b/>
          <w:sz w:val="24"/>
          <w:szCs w:val="26"/>
        </w:rPr>
        <w:t>PHẠM VI ĐIỀU CHỈNH VÀ ĐỐI TƯỢNG ÁP DỤNG</w:t>
      </w:r>
    </w:p>
    <w:p w:rsidR="004D79D7" w:rsidRPr="004D79D7" w:rsidRDefault="004D79D7"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rPr>
          <w:b/>
          <w:szCs w:val="26"/>
        </w:rPr>
      </w:pPr>
      <w:r w:rsidRPr="004D79D7">
        <w:rPr>
          <w:b/>
          <w:szCs w:val="26"/>
        </w:rPr>
        <w:t>1. Phạm vi điều chỉnh</w:t>
      </w:r>
    </w:p>
    <w:p w:rsidR="00B06C40" w:rsidRPr="00B06C40" w:rsidRDefault="004D79D7"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rPr>
          <w:szCs w:val="26"/>
        </w:rPr>
      </w:pPr>
      <w:r w:rsidRPr="004D79D7">
        <w:rPr>
          <w:szCs w:val="26"/>
        </w:rPr>
        <w:t xml:space="preserve">Nghị định quy định chi tiết và hướng dẫn thi hành một số điều của Luật </w:t>
      </w:r>
      <w:r>
        <w:rPr>
          <w:szCs w:val="26"/>
        </w:rPr>
        <w:t>BHXH</w:t>
      </w:r>
      <w:r w:rsidRPr="004D79D7">
        <w:rPr>
          <w:szCs w:val="26"/>
        </w:rPr>
        <w:t xml:space="preserve"> về </w:t>
      </w:r>
      <w:r>
        <w:rPr>
          <w:szCs w:val="26"/>
        </w:rPr>
        <w:t>BHXH bắt buộc</w:t>
      </w:r>
      <w:r w:rsidR="004E0E65">
        <w:rPr>
          <w:rStyle w:val="FootnoteReference"/>
          <w:szCs w:val="26"/>
        </w:rPr>
        <w:footnoteReference w:id="1"/>
      </w:r>
      <w:r w:rsidR="004E0E65">
        <w:rPr>
          <w:bCs/>
          <w:color w:val="000000"/>
        </w:rPr>
        <w:t xml:space="preserve"> và</w:t>
      </w:r>
      <w:r w:rsidR="00B06C40" w:rsidRPr="00A97279">
        <w:rPr>
          <w:bCs/>
          <w:color w:val="000000"/>
        </w:rPr>
        <w:t xml:space="preserve"> điểm 13 của Nghị quyết số 142/2024/QH15</w:t>
      </w:r>
      <w:r w:rsidR="00B06C40" w:rsidRPr="00A97279">
        <w:rPr>
          <w:lang w:val="vi-VN" w:eastAsia="vi-VN"/>
        </w:rPr>
        <w:t>.</w:t>
      </w:r>
    </w:p>
    <w:p w:rsidR="004D79D7" w:rsidRPr="004D79D7" w:rsidRDefault="004D79D7"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rPr>
          <w:b/>
        </w:rPr>
      </w:pPr>
      <w:r w:rsidRPr="004D79D7">
        <w:rPr>
          <w:b/>
        </w:rPr>
        <w:t>2. Đối tượng áp dụng</w:t>
      </w:r>
    </w:p>
    <w:p w:rsidR="00C65AD7" w:rsidRDefault="00B06C40"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pPr>
      <w:r>
        <w:t>a)</w:t>
      </w:r>
      <w:r w:rsidR="004D79D7">
        <w:t xml:space="preserve"> Người lao động quy định tại các điểm a, b, c, g, h, i, k, l m và n khoản 1 và  khoản 2 Điều 2 của Luật </w:t>
      </w:r>
      <w:r>
        <w:t>BHXH</w:t>
      </w:r>
      <w:r w:rsidR="004D79D7">
        <w:t>.</w:t>
      </w:r>
      <w:r w:rsidR="00C65AD7">
        <w:t xml:space="preserve"> </w:t>
      </w:r>
      <w:r w:rsidR="00C65AD7" w:rsidRPr="007B007B">
        <w:rPr>
          <w:i/>
        </w:rPr>
        <w:t>(</w:t>
      </w:r>
      <w:r w:rsidR="00F81B97">
        <w:rPr>
          <w:i/>
        </w:rPr>
        <w:t>Đ</w:t>
      </w:r>
      <w:r w:rsidR="00C65AD7" w:rsidRPr="007B007B">
        <w:rPr>
          <w:i/>
        </w:rPr>
        <w:t xml:space="preserve">ối với các đối tượng quy định tại các điểm d, đ và e khoản 1 Điều 2 của Luật BHXH sẽ được quy định tại Nghị định quy định chi tiết một số điều của Luật </w:t>
      </w:r>
      <w:r w:rsidR="00C11E83">
        <w:rPr>
          <w:i/>
        </w:rPr>
        <w:t>BHXH</w:t>
      </w:r>
      <w:r w:rsidR="00C65AD7" w:rsidRPr="007B007B">
        <w:rPr>
          <w:i/>
        </w:rPr>
        <w:t xml:space="preserve"> về </w:t>
      </w:r>
      <w:r w:rsidR="00C11E83">
        <w:rPr>
          <w:i/>
        </w:rPr>
        <w:t>BHXH</w:t>
      </w:r>
      <w:r w:rsidR="00C65AD7" w:rsidRPr="007B007B">
        <w:rPr>
          <w:i/>
        </w:rPr>
        <w:t xml:space="preserve"> bắt buộc đối với đối với quân nhân, công an nhân dân và người làm công tác cơ yếu hưởng lương như đối với quân nhân, công an nhân dân).</w:t>
      </w:r>
    </w:p>
    <w:p w:rsidR="004D79D7" w:rsidRDefault="00B06C40"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pPr>
      <w:r>
        <w:t>b)</w:t>
      </w:r>
      <w:r w:rsidR="004D79D7">
        <w:t xml:space="preserve"> Người thụ hưởng chế độ </w:t>
      </w:r>
      <w:r>
        <w:t>BHXH</w:t>
      </w:r>
      <w:r w:rsidR="004D79D7">
        <w:t xml:space="preserve"> theo quy định của Luật </w:t>
      </w:r>
      <w:r>
        <w:t>BHXH</w:t>
      </w:r>
      <w:r w:rsidR="004D79D7">
        <w:t>.</w:t>
      </w:r>
    </w:p>
    <w:p w:rsidR="000F2387" w:rsidRDefault="00B06C40"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pPr>
      <w:r>
        <w:t>c)</w:t>
      </w:r>
      <w:r w:rsidR="004D79D7">
        <w:t xml:space="preserve"> Người sử dụng lao động quy định tại khoản 3 Điều 2 của Luật </w:t>
      </w:r>
      <w:r>
        <w:t>BHXH</w:t>
      </w:r>
      <w:r w:rsidR="004D79D7">
        <w:t>.</w:t>
      </w:r>
    </w:p>
    <w:p w:rsidR="004D79D7" w:rsidRPr="004D79D7" w:rsidRDefault="00B06C40"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pPr>
      <w:r>
        <w:t>d)</w:t>
      </w:r>
      <w:r w:rsidR="004D79D7">
        <w:t xml:space="preserve"> Cơ quan, tổ chức, cá nhân khác có liên quan đến </w:t>
      </w:r>
      <w:r>
        <w:t>BHXH</w:t>
      </w:r>
      <w:r w:rsidR="004D79D7">
        <w:t xml:space="preserve"> bắt buộc.</w:t>
      </w:r>
    </w:p>
    <w:p w:rsidR="000F2387" w:rsidRDefault="006067BC"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rPr>
          <w:b/>
          <w:sz w:val="24"/>
        </w:rPr>
      </w:pPr>
      <w:r w:rsidRPr="006067BC">
        <w:rPr>
          <w:b/>
          <w:sz w:val="24"/>
        </w:rPr>
        <w:t xml:space="preserve">IV. </w:t>
      </w:r>
      <w:r w:rsidR="0035281D" w:rsidRPr="006067BC">
        <w:rPr>
          <w:b/>
          <w:sz w:val="24"/>
        </w:rPr>
        <w:t>QUÁ TRÌNH NGHIÊN CỨU, XÂY DỰNG</w:t>
      </w:r>
    </w:p>
    <w:p w:rsidR="003967E3" w:rsidRDefault="00456D6B"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pPr>
      <w:r>
        <w:t xml:space="preserve">1. </w:t>
      </w:r>
      <w:r w:rsidR="003967E3">
        <w:t xml:space="preserve">Ngày 08/10/2024, Bộ trưởng Bộ Lao động - Thương binh và Xã hội ban hành Quyết định số 1690/QĐ-BLĐTBXH về việc thành lập Ban soạn thảo, Tổ biên tập xây dựng </w:t>
      </w:r>
      <w:r w:rsidR="003967E3" w:rsidRPr="003967E3">
        <w:t>Nghị định quy định chi tiết và hướng dẫn thi hành một số điều của Luật BHXH về BHXH bắt buộc</w:t>
      </w:r>
      <w:r w:rsidR="003967E3">
        <w:t>.</w:t>
      </w:r>
    </w:p>
    <w:p w:rsidR="00C65AD7" w:rsidRPr="000F2387" w:rsidRDefault="00C65AD7"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rPr>
          <w:b/>
          <w:sz w:val="24"/>
        </w:rPr>
      </w:pPr>
      <w:r w:rsidRPr="00717DD4">
        <w:rPr>
          <w:szCs w:val="20"/>
          <w:lang w:val="pt-BR"/>
        </w:rPr>
        <w:t>2. Xây dựng dự thảo Nghị định</w:t>
      </w:r>
      <w:r>
        <w:rPr>
          <w:szCs w:val="20"/>
          <w:lang w:val="pt-BR"/>
        </w:rPr>
        <w:t>: tiến hành khảo sát, đánh giá tại các đại phương phục vụ cho việc xây dựng dự thảo Nghị định;</w:t>
      </w:r>
      <w:r w:rsidR="009A4F6A">
        <w:rPr>
          <w:szCs w:val="20"/>
          <w:lang w:val="pt-BR"/>
        </w:rPr>
        <w:t xml:space="preserve"> </w:t>
      </w:r>
      <w:r w:rsidRPr="00717DD4">
        <w:rPr>
          <w:szCs w:val="20"/>
          <w:lang w:val="pt-BR"/>
        </w:rPr>
        <w:t xml:space="preserve">tổ chức </w:t>
      </w:r>
      <w:r>
        <w:rPr>
          <w:szCs w:val="20"/>
          <w:lang w:val="pt-BR"/>
        </w:rPr>
        <w:t>các</w:t>
      </w:r>
      <w:r w:rsidRPr="00717DD4">
        <w:rPr>
          <w:szCs w:val="20"/>
          <w:lang w:val="pt-BR"/>
        </w:rPr>
        <w:t xml:space="preserve"> cuộc </w:t>
      </w:r>
      <w:r w:rsidR="009A4F6A">
        <w:rPr>
          <w:szCs w:val="20"/>
          <w:lang w:val="pt-BR"/>
        </w:rPr>
        <w:t>họp lấy ý kiến hoàn thiện dự thảo Nghị định</w:t>
      </w:r>
      <w:r w:rsidRPr="00717DD4">
        <w:rPr>
          <w:szCs w:val="20"/>
          <w:lang w:val="pt-BR"/>
        </w:rPr>
        <w:t>.</w:t>
      </w:r>
    </w:p>
    <w:p w:rsidR="00785EDF" w:rsidRDefault="003967E3"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pPr>
      <w:r>
        <w:t xml:space="preserve">3. </w:t>
      </w:r>
      <w:r w:rsidR="00785EDF" w:rsidRPr="001E72E1">
        <w:t xml:space="preserve">Ngày 04/11/2024, Ban Soạn thảo, Tổ Biên tập họp cho ý kiến đối với dự thảo Nghị định và Thông tư quy định chi tiết và hướng dẫn thi hành một số điều của Luật BHXH về BHXH bắt buộc. </w:t>
      </w:r>
    </w:p>
    <w:p w:rsidR="00456D6B" w:rsidRDefault="003967E3" w:rsidP="007B007B">
      <w:pPr>
        <w:widowControl w:val="0"/>
        <w:pBdr>
          <w:top w:val="dotted" w:sz="4" w:space="0" w:color="FFFFFF"/>
          <w:left w:val="dotted" w:sz="4" w:space="0" w:color="FFFFFF"/>
          <w:bottom w:val="dotted" w:sz="4" w:space="9" w:color="FFFFFF"/>
          <w:right w:val="dotted" w:sz="4" w:space="0" w:color="FFFFFF"/>
        </w:pBdr>
        <w:spacing w:before="120" w:line="281" w:lineRule="auto"/>
        <w:ind w:firstLine="720"/>
        <w:jc w:val="both"/>
      </w:pPr>
      <w:r>
        <w:t>4</w:t>
      </w:r>
      <w:r w:rsidR="00456D6B">
        <w:t xml:space="preserve">. </w:t>
      </w:r>
      <w:r w:rsidR="00456D6B" w:rsidRPr="00456D6B">
        <w:t xml:space="preserve">Ngày </w:t>
      </w:r>
      <w:r w:rsidR="00785EDF">
        <w:t>…</w:t>
      </w:r>
      <w:r w:rsidR="0080352D">
        <w:t>/</w:t>
      </w:r>
      <w:r w:rsidR="00785EDF">
        <w:t>11</w:t>
      </w:r>
      <w:r w:rsidR="00456D6B" w:rsidRPr="00456D6B">
        <w:t>/202</w:t>
      </w:r>
      <w:r w:rsidR="00456D6B">
        <w:t>4</w:t>
      </w:r>
      <w:r w:rsidR="00456D6B" w:rsidRPr="00456D6B">
        <w:t xml:space="preserve">, Bộ Lao động - Thương binh và Xã hội có </w:t>
      </w:r>
      <w:r w:rsidR="00625649">
        <w:t>V</w:t>
      </w:r>
      <w:r w:rsidR="00456D6B" w:rsidRPr="00456D6B">
        <w:t>ăn bả</w:t>
      </w:r>
      <w:r w:rsidR="00456D6B">
        <w:t>n</w:t>
      </w:r>
      <w:r w:rsidR="00625649">
        <w:t xml:space="preserve"> số </w:t>
      </w:r>
      <w:r w:rsidR="009B7192">
        <w:t>……</w:t>
      </w:r>
      <w:r w:rsidR="00625649">
        <w:t>/BLĐTBXH-VBHXH</w:t>
      </w:r>
      <w:r w:rsidR="00456D6B">
        <w:t xml:space="preserve"> gửi lấy ý kiến các bộ, ngành </w:t>
      </w:r>
      <w:r w:rsidR="00456D6B" w:rsidRPr="00456D6B">
        <w:t xml:space="preserve">về </w:t>
      </w:r>
      <w:r w:rsidR="009B7192">
        <w:t>dự thảo Nghị định</w:t>
      </w:r>
      <w:r w:rsidR="00456D6B" w:rsidRPr="00456D6B">
        <w:t>; đồng thời</w:t>
      </w:r>
      <w:r w:rsidR="00625649">
        <w:t xml:space="preserve"> có Công văn số </w:t>
      </w:r>
      <w:r w:rsidR="009B7192">
        <w:t>….</w:t>
      </w:r>
      <w:r w:rsidR="00625649">
        <w:t xml:space="preserve">/BLĐTBXH-VBHXH ngày </w:t>
      </w:r>
      <w:r w:rsidR="009B7192">
        <w:t>….</w:t>
      </w:r>
      <w:r w:rsidR="0080352D">
        <w:t>11</w:t>
      </w:r>
      <w:r w:rsidR="00625649">
        <w:t>/2024</w:t>
      </w:r>
      <w:r w:rsidR="00456D6B" w:rsidRPr="00456D6B">
        <w:t xml:space="preserve"> đăng tải</w:t>
      </w:r>
      <w:r w:rsidR="009B7192">
        <w:t xml:space="preserve"> hồ sơ dự thảo Nghị định</w:t>
      </w:r>
      <w:r w:rsidR="00456D6B" w:rsidRPr="00456D6B">
        <w:t xml:space="preserve"> trên Cổng thông tin điện tử của Chính phủ và Bộ Lao động - Thương binh và Xã hội để lấy ý kiến rộng rãi các đối tượng chịu tác động.</w:t>
      </w:r>
    </w:p>
    <w:p w:rsidR="00456D6B" w:rsidRPr="00B30FAE" w:rsidRDefault="00465409"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lastRenderedPageBreak/>
        <w:t>5</w:t>
      </w:r>
      <w:r w:rsidR="00456D6B">
        <w:t xml:space="preserve">. </w:t>
      </w:r>
      <w:r w:rsidR="00456D6B" w:rsidRPr="00456D6B">
        <w:t xml:space="preserve">Đã có </w:t>
      </w:r>
      <w:r w:rsidR="00456D6B">
        <w:t>…</w:t>
      </w:r>
      <w:r w:rsidR="00456D6B" w:rsidRPr="00456D6B">
        <w:t xml:space="preserve"> văn bả</w:t>
      </w:r>
      <w:r w:rsidR="0079637C">
        <w:t xml:space="preserve">n góp ý từ các </w:t>
      </w:r>
      <w:r w:rsidR="00456D6B">
        <w:t>Bộ, ngành</w:t>
      </w:r>
      <w:r w:rsidR="0079637C">
        <w:t>, địa phương</w:t>
      </w:r>
      <w:r w:rsidR="009B7192">
        <w:t xml:space="preserve"> đối với dự thảo Nghị định</w:t>
      </w:r>
      <w:r w:rsidR="00456D6B" w:rsidRPr="00456D6B">
        <w:t xml:space="preserve">. Sau 60 ngày đăng trên Cổng Thông tin điện tử Chính phủ và Cổng Thông tin điện tử Bộ, có </w:t>
      </w:r>
      <w:r w:rsidR="00456D6B">
        <w:t>….</w:t>
      </w:r>
      <w:r w:rsidR="00456D6B" w:rsidRPr="00456D6B">
        <w:t xml:space="preserve"> ý kiến góp ý của công dân, tổ chức đối với dự thảo </w:t>
      </w:r>
      <w:r w:rsidR="009B7192">
        <w:t>Nghị định</w:t>
      </w:r>
      <w:r w:rsidR="00456D6B">
        <w:t>.</w:t>
      </w:r>
    </w:p>
    <w:p w:rsidR="0035281D" w:rsidRDefault="0079637C"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t>Bộ Lao động - Thương binh và Xã hội đã phối hợp với BHXH Việt Nam tổ chức các Hội ng</w:t>
      </w:r>
      <w:r w:rsidR="009B7192">
        <w:t xml:space="preserve">hị lấy ý kiến </w:t>
      </w:r>
      <w:r w:rsidR="009A4F6A">
        <w:t xml:space="preserve">các bộ, ngành, địa phương về </w:t>
      </w:r>
      <w:r w:rsidR="009B7192">
        <w:t>dự thảo Nghị định</w:t>
      </w:r>
      <w:r>
        <w:t>.</w:t>
      </w:r>
    </w:p>
    <w:p w:rsidR="0079637C" w:rsidRDefault="00465409"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t>6</w:t>
      </w:r>
      <w:r w:rsidR="0079637C">
        <w:t xml:space="preserve">. Sau khi tiếp thu, giải trình ý kiến góp ý của các Bộ, ngành, địa phương và hoàn thiện hồ sơ Nghị </w:t>
      </w:r>
      <w:r w:rsidR="009B7192">
        <w:t>định</w:t>
      </w:r>
      <w:r w:rsidR="0079637C">
        <w:t>, ngày …/…/2024, Bộ Lao động - Thương</w:t>
      </w:r>
      <w:r w:rsidR="0080352D">
        <w:t xml:space="preserve"> binh và Xã hội có văn bản số …</w:t>
      </w:r>
      <w:r w:rsidR="0079637C">
        <w:t>/BLĐTBXH-VBHXH gửi Bộ Tư pháp đề</w:t>
      </w:r>
      <w:r w:rsidR="009B7192">
        <w:t xml:space="preserve"> nghị thẩm định hồ sơ Nghị định</w:t>
      </w:r>
      <w:r w:rsidR="0079637C">
        <w:t>.</w:t>
      </w:r>
    </w:p>
    <w:p w:rsidR="006067BC" w:rsidRDefault="00465409"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t>7</w:t>
      </w:r>
      <w:r w:rsidR="0080352D">
        <w:t>. Ngày …./…</w:t>
      </w:r>
      <w:r w:rsidR="0079637C">
        <w:t>/2024, Bộ Tư</w:t>
      </w:r>
      <w:r w:rsidR="0080352D">
        <w:t xml:space="preserve"> pháp có Báo cáo thẩm định số …</w:t>
      </w:r>
      <w:r w:rsidR="0079637C">
        <w:t>/BCTĐ-BT</w:t>
      </w:r>
      <w:r w:rsidR="009B7192">
        <w:t>P thẩm định đối với hồ sơ Nghị định</w:t>
      </w:r>
      <w:r w:rsidR="0079637C">
        <w:t>.</w:t>
      </w:r>
      <w:r w:rsidR="009A4F6A">
        <w:t xml:space="preserve"> </w:t>
      </w:r>
      <w:r w:rsidR="0079637C">
        <w:t xml:space="preserve">Ngày </w:t>
      </w:r>
      <w:r w:rsidR="009B7192">
        <w:t>…./….</w:t>
      </w:r>
      <w:r w:rsidR="0079637C">
        <w:t>/202</w:t>
      </w:r>
      <w:r w:rsidR="009B7192">
        <w:t>4</w:t>
      </w:r>
      <w:r w:rsidR="0079637C">
        <w:t xml:space="preserve">, Bộ Lao động - Thương </w:t>
      </w:r>
      <w:r w:rsidR="00BF66EE">
        <w:t xml:space="preserve">binh và Xã hội có </w:t>
      </w:r>
      <w:r w:rsidR="006067BC">
        <w:t>Báo cáo số ….. tiếp thu, giải trình ý kiến thẩm định của Bộ Tư pháp</w:t>
      </w:r>
      <w:r w:rsidR="0079637C">
        <w:t>.</w:t>
      </w:r>
    </w:p>
    <w:p w:rsidR="002928E9" w:rsidRPr="006067BC" w:rsidRDefault="000F2387" w:rsidP="007B007B">
      <w:pPr>
        <w:spacing w:before="120" w:line="293" w:lineRule="auto"/>
        <w:rPr>
          <w:b/>
          <w:sz w:val="24"/>
          <w:szCs w:val="26"/>
        </w:rPr>
      </w:pPr>
      <w:r>
        <w:tab/>
      </w:r>
      <w:r w:rsidR="0026076B" w:rsidRPr="006067BC">
        <w:rPr>
          <w:b/>
          <w:sz w:val="24"/>
          <w:szCs w:val="26"/>
        </w:rPr>
        <w:t>V</w:t>
      </w:r>
      <w:r w:rsidR="002928E9" w:rsidRPr="006067BC">
        <w:rPr>
          <w:b/>
          <w:sz w:val="24"/>
          <w:szCs w:val="26"/>
        </w:rPr>
        <w:t>.</w:t>
      </w:r>
      <w:r w:rsidR="006067BC" w:rsidRPr="006067BC">
        <w:rPr>
          <w:b/>
          <w:sz w:val="24"/>
          <w:szCs w:val="26"/>
        </w:rPr>
        <w:t xml:space="preserve"> </w:t>
      </w:r>
      <w:r w:rsidR="002928E9" w:rsidRPr="006067BC">
        <w:rPr>
          <w:b/>
          <w:sz w:val="24"/>
          <w:szCs w:val="26"/>
        </w:rPr>
        <w:t xml:space="preserve">BỐ CỤC VÀ NỘI DUNG CƠ BẢN CỦA NGHỊ </w:t>
      </w:r>
      <w:r w:rsidR="009B7192" w:rsidRPr="006067BC">
        <w:rPr>
          <w:b/>
          <w:sz w:val="24"/>
          <w:szCs w:val="26"/>
        </w:rPr>
        <w:t>ĐỊNH</w:t>
      </w:r>
    </w:p>
    <w:p w:rsidR="00073BCC" w:rsidRDefault="001A4190"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b/>
        </w:rPr>
      </w:pPr>
      <w:r w:rsidRPr="00337EA1">
        <w:rPr>
          <w:b/>
        </w:rPr>
        <w:t xml:space="preserve">1. Bố cục của Nghị </w:t>
      </w:r>
      <w:r w:rsidR="009B7192">
        <w:rPr>
          <w:b/>
        </w:rPr>
        <w:t>định</w:t>
      </w:r>
    </w:p>
    <w:p w:rsidR="00B06C40" w:rsidRDefault="006067BC"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t>Nghị định</w:t>
      </w:r>
      <w:r w:rsidR="00465409">
        <w:t xml:space="preserve"> được kết cấu gồm 07 Chương và 44</w:t>
      </w:r>
      <w:r w:rsidR="002928E9" w:rsidRPr="00337EA1">
        <w:t xml:space="preserve"> Điều</w:t>
      </w:r>
      <w:r w:rsidR="00465409">
        <w:t>,</w:t>
      </w:r>
      <w:r w:rsidR="00B06C40">
        <w:t xml:space="preserve"> 02 Phụ lục và 03 Biểu mẫu (</w:t>
      </w:r>
      <w:r w:rsidR="00B06C40" w:rsidRPr="00B06C40">
        <w:t>Đơn đề nghị xác nhận</w:t>
      </w:r>
      <w:r w:rsidR="00B06C40">
        <w:t xml:space="preserve">, Giấy xác nhận, </w:t>
      </w:r>
      <w:r w:rsidR="00B06C40">
        <w:rPr>
          <w:rFonts w:eastAsia="SimSun"/>
        </w:rPr>
        <w:t>Đơn đề nghị giải quyết chế độ tử tuất)</w:t>
      </w:r>
    </w:p>
    <w:p w:rsidR="002928E9" w:rsidRPr="00337EA1" w:rsidRDefault="002928E9"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b/>
        </w:rPr>
      </w:pPr>
      <w:r w:rsidRPr="00337EA1">
        <w:rPr>
          <w:b/>
        </w:rPr>
        <w:t>2</w:t>
      </w:r>
      <w:r w:rsidR="009B7192">
        <w:rPr>
          <w:b/>
        </w:rPr>
        <w:t>. Nội dung cơ bản của Nghị định</w:t>
      </w:r>
    </w:p>
    <w:p w:rsidR="002928E9" w:rsidRDefault="00B06C40"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t>Nghị định</w:t>
      </w:r>
      <w:r w:rsidR="002928E9" w:rsidRPr="00337EA1">
        <w:t xml:space="preserve"> </w:t>
      </w:r>
      <w:r w:rsidR="0026076B">
        <w:t>bao gồm các nội dung cơ bản</w:t>
      </w:r>
      <w:r w:rsidR="002928E9" w:rsidRPr="00337EA1">
        <w:t xml:space="preserve"> như sau:</w:t>
      </w:r>
    </w:p>
    <w:p w:rsidR="005B3B0C" w:rsidRPr="00371EFD" w:rsidRDefault="006C26B5"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i/>
        </w:rPr>
      </w:pPr>
      <w:r w:rsidRPr="00371EFD">
        <w:rPr>
          <w:i/>
        </w:rPr>
        <w:t>2.1. Chương I</w:t>
      </w:r>
      <w:r w:rsidR="00D173B3" w:rsidRPr="00371EFD">
        <w:rPr>
          <w:i/>
        </w:rPr>
        <w:t>. Những quy định chung</w:t>
      </w:r>
    </w:p>
    <w:p w:rsidR="00F81B97" w:rsidRDefault="00D173B3"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pPr>
      <w:r>
        <w:t xml:space="preserve">Chương này </w:t>
      </w:r>
      <w:r w:rsidR="00F81B97">
        <w:t xml:space="preserve">gồm </w:t>
      </w:r>
      <w:r w:rsidR="000A5906">
        <w:t>0</w:t>
      </w:r>
      <w:r w:rsidR="00F81B97">
        <w:t xml:space="preserve">5 điều, từ Điều 1 đến Điều 5 </w:t>
      </w:r>
      <w:r>
        <w:t>quy định về phạm vi điều chỉnh</w:t>
      </w:r>
      <w:r w:rsidR="00F81B97">
        <w:t xml:space="preserve">; đối tượng áp dụng; đối tượng tham gia BHXH bắt buộc; </w:t>
      </w:r>
      <w:r w:rsidR="00F81B97" w:rsidRPr="00F81B97">
        <w:t xml:space="preserve">Bản sao các giấy tờ dùng để thực hiện </w:t>
      </w:r>
      <w:r w:rsidR="00F81B97">
        <w:t>BHXH</w:t>
      </w:r>
      <w:r w:rsidR="00F81B97" w:rsidRPr="00F81B97">
        <w:t xml:space="preserve"> quy định tại Luật </w:t>
      </w:r>
      <w:r w:rsidR="00F81B97">
        <w:t>BHXH và Mức tham chiếu.</w:t>
      </w:r>
    </w:p>
    <w:p w:rsidR="00962390" w:rsidRDefault="00F81B97" w:rsidP="007B007B">
      <w:pPr>
        <w:widowControl w:val="0"/>
        <w:pBdr>
          <w:top w:val="dotted" w:sz="4" w:space="0" w:color="FFFFFF"/>
          <w:left w:val="dotted" w:sz="4" w:space="0" w:color="FFFFFF"/>
          <w:bottom w:val="dotted" w:sz="4" w:space="9" w:color="FFFFFF"/>
          <w:right w:val="dotted" w:sz="4" w:space="0" w:color="FFFFFF"/>
        </w:pBdr>
        <w:spacing w:before="120" w:line="293" w:lineRule="auto"/>
        <w:ind w:firstLine="720"/>
        <w:jc w:val="both"/>
        <w:rPr>
          <w:spacing w:val="-2"/>
          <w:lang w:val="af-ZA"/>
        </w:rPr>
      </w:pPr>
      <w:r>
        <w:t xml:space="preserve">- Về đối tượng tham gia BHXH bắt buộc (Điều 3): dự thảo Nghị định </w:t>
      </w:r>
      <w:r w:rsidR="00962390">
        <w:t xml:space="preserve">đã đề xuất 02 phương án quy định đối tượng tham gia BHXH bắt buộc đối với </w:t>
      </w:r>
      <w:r w:rsidR="00D173B3">
        <w:t xml:space="preserve">chủ hộ kinh doanh của hộ kinh doanh có đăng ký kinh doanh quy định tại điểm m khoản 1 Điều 2 của Luật </w:t>
      </w:r>
      <w:r w:rsidR="006803ED">
        <w:t>BHXH</w:t>
      </w:r>
      <w:r w:rsidR="00962390">
        <w:t xml:space="preserve">; Quy định việc tham gia BHXH bắt buộc trong trường hợp </w:t>
      </w:r>
      <w:r w:rsidR="00962390">
        <w:rPr>
          <w:spacing w:val="-2"/>
          <w:lang w:val="af-ZA"/>
        </w:rPr>
        <w:t xml:space="preserve">đối </w:t>
      </w:r>
      <w:r w:rsidR="00962390" w:rsidRPr="007B7BFE">
        <w:rPr>
          <w:spacing w:val="-2"/>
          <w:lang w:val="af-ZA"/>
        </w:rPr>
        <w:t xml:space="preserve">tượng quy định tại </w:t>
      </w:r>
      <w:r w:rsidR="00962390">
        <w:rPr>
          <w:spacing w:val="-2"/>
          <w:lang w:val="af-ZA"/>
        </w:rPr>
        <w:t>điểm m</w:t>
      </w:r>
      <w:r w:rsidR="00962390" w:rsidRPr="007B7BFE">
        <w:rPr>
          <w:spacing w:val="-2"/>
          <w:lang w:val="af-ZA"/>
        </w:rPr>
        <w:t xml:space="preserve"> </w:t>
      </w:r>
      <w:r w:rsidR="00962390">
        <w:rPr>
          <w:spacing w:val="-2"/>
          <w:lang w:val="af-ZA"/>
        </w:rPr>
        <w:t xml:space="preserve">và </w:t>
      </w:r>
      <w:r w:rsidR="00962390" w:rsidRPr="00180127">
        <w:rPr>
          <w:lang w:val="af-ZA"/>
        </w:rPr>
        <w:t xml:space="preserve">điểm </w:t>
      </w:r>
      <w:r w:rsidR="00962390">
        <w:rPr>
          <w:lang w:val="af-ZA"/>
        </w:rPr>
        <w:t>n</w:t>
      </w:r>
      <w:r w:rsidR="00962390" w:rsidRPr="00180127">
        <w:rPr>
          <w:lang w:val="af-ZA"/>
        </w:rPr>
        <w:t xml:space="preserve"> khoản 1 </w:t>
      </w:r>
      <w:r w:rsidR="00962390" w:rsidRPr="007B7BFE">
        <w:rPr>
          <w:spacing w:val="-2"/>
          <w:lang w:val="af-ZA"/>
        </w:rPr>
        <w:t xml:space="preserve">Điều </w:t>
      </w:r>
      <w:r w:rsidR="00962390">
        <w:rPr>
          <w:spacing w:val="-2"/>
          <w:lang w:val="af-ZA"/>
        </w:rPr>
        <w:t>2 của Luật BHXH</w:t>
      </w:r>
      <w:r w:rsidR="00962390" w:rsidRPr="007B7BFE">
        <w:rPr>
          <w:spacing w:val="-2"/>
          <w:lang w:val="af-ZA"/>
        </w:rPr>
        <w:t xml:space="preserve"> đồng thời thuộc nhiều đối tượng quy định tại khoản 1 Điều </w:t>
      </w:r>
      <w:r w:rsidR="00962390">
        <w:rPr>
          <w:spacing w:val="-2"/>
          <w:lang w:val="af-ZA"/>
        </w:rPr>
        <w:t xml:space="preserve">2 của Luật BHXH; </w:t>
      </w:r>
      <w:r w:rsidR="00962390">
        <w:rPr>
          <w:color w:val="000000"/>
        </w:rPr>
        <w:t>Quy định đ</w:t>
      </w:r>
      <w:r w:rsidR="00962390" w:rsidRPr="007B7BFE">
        <w:rPr>
          <w:lang w:val="af-ZA"/>
        </w:rPr>
        <w:t xml:space="preserve">ối tượng hưởng trợ cấp </w:t>
      </w:r>
      <w:r w:rsidR="00962390">
        <w:rPr>
          <w:lang w:val="af-ZA"/>
        </w:rPr>
        <w:t>BHXH</w:t>
      </w:r>
      <w:r w:rsidR="00962390" w:rsidRPr="007B7BFE">
        <w:rPr>
          <w:lang w:val="af-ZA"/>
        </w:rPr>
        <w:t xml:space="preserve">, trợ cấp hằng tháng không thuộc đối tượng tham gia </w:t>
      </w:r>
      <w:r w:rsidR="00962390">
        <w:rPr>
          <w:lang w:val="af-ZA"/>
        </w:rPr>
        <w:t>BHXH</w:t>
      </w:r>
      <w:r w:rsidR="00962390" w:rsidRPr="007B7BFE">
        <w:rPr>
          <w:lang w:val="af-ZA"/>
        </w:rPr>
        <w:t xml:space="preserve"> bắt buộc</w:t>
      </w:r>
      <w:r w:rsidR="00962390" w:rsidRPr="009A583E">
        <w:rPr>
          <w:color w:val="000000"/>
          <w:lang w:val="vi-VN"/>
        </w:rPr>
        <w:t xml:space="preserve"> </w:t>
      </w:r>
      <w:r w:rsidR="00962390">
        <w:rPr>
          <w:color w:val="000000"/>
        </w:rPr>
        <w:t xml:space="preserve">quy định </w:t>
      </w:r>
      <w:r w:rsidR="00962390" w:rsidRPr="00E60B5B">
        <w:rPr>
          <w:color w:val="000000"/>
          <w:lang w:val="vi-VN"/>
        </w:rPr>
        <w:t xml:space="preserve">tại điểm </w:t>
      </w:r>
      <w:r w:rsidR="00962390">
        <w:rPr>
          <w:color w:val="000000"/>
        </w:rPr>
        <w:t>a</w:t>
      </w:r>
      <w:r w:rsidR="00962390" w:rsidRPr="00E60B5B">
        <w:rPr>
          <w:color w:val="000000"/>
          <w:lang w:val="vi-VN"/>
        </w:rPr>
        <w:t xml:space="preserve"> khoản </w:t>
      </w:r>
      <w:r w:rsidR="00962390">
        <w:rPr>
          <w:color w:val="000000"/>
        </w:rPr>
        <w:t>7</w:t>
      </w:r>
      <w:r w:rsidR="00962390" w:rsidRPr="00E60B5B">
        <w:rPr>
          <w:color w:val="000000"/>
          <w:lang w:val="vi-VN"/>
        </w:rPr>
        <w:t xml:space="preserve"> Điều </w:t>
      </w:r>
      <w:r w:rsidR="00962390">
        <w:rPr>
          <w:color w:val="000000"/>
        </w:rPr>
        <w:t>2</w:t>
      </w:r>
      <w:r w:rsidR="00962390" w:rsidRPr="00E60B5B">
        <w:rPr>
          <w:color w:val="000000"/>
          <w:lang w:val="vi-VN"/>
        </w:rPr>
        <w:t xml:space="preserve"> của </w:t>
      </w:r>
      <w:r w:rsidR="00962390">
        <w:rPr>
          <w:spacing w:val="-2"/>
          <w:lang w:val="af-ZA"/>
        </w:rPr>
        <w:t>Luật BHXH.</w:t>
      </w:r>
    </w:p>
    <w:p w:rsidR="00D173B3" w:rsidRDefault="00962390" w:rsidP="007B007B">
      <w:pPr>
        <w:widowControl w:val="0"/>
        <w:pBdr>
          <w:top w:val="dotted" w:sz="4" w:space="0" w:color="FFFFFF"/>
          <w:left w:val="dotted" w:sz="4" w:space="0" w:color="FFFFFF"/>
          <w:bottom w:val="dotted" w:sz="4" w:space="9" w:color="FFFFFF"/>
          <w:right w:val="dotted" w:sz="4" w:space="0" w:color="FFFFFF"/>
        </w:pBdr>
        <w:spacing w:before="120" w:line="310" w:lineRule="auto"/>
        <w:ind w:firstLine="720"/>
        <w:jc w:val="both"/>
      </w:pPr>
      <w:r>
        <w:rPr>
          <w:spacing w:val="-2"/>
          <w:lang w:val="af-ZA"/>
        </w:rPr>
        <w:lastRenderedPageBreak/>
        <w:t>- Về b</w:t>
      </w:r>
      <w:r w:rsidRPr="00962390">
        <w:rPr>
          <w:spacing w:val="-2"/>
          <w:lang w:val="af-ZA"/>
        </w:rPr>
        <w:t xml:space="preserve">ản sao các giấy tờ dùng để thực hiện </w:t>
      </w:r>
      <w:r>
        <w:rPr>
          <w:spacing w:val="-2"/>
          <w:lang w:val="af-ZA"/>
        </w:rPr>
        <w:t>BHXH</w:t>
      </w:r>
      <w:r w:rsidRPr="00962390">
        <w:rPr>
          <w:spacing w:val="-2"/>
          <w:lang w:val="af-ZA"/>
        </w:rPr>
        <w:t xml:space="preserve"> quy định tại Luật </w:t>
      </w:r>
      <w:r>
        <w:rPr>
          <w:spacing w:val="-2"/>
          <w:lang w:val="af-ZA"/>
        </w:rPr>
        <w:t xml:space="preserve">BHXH (Điều 4): dự thảo Nghị định đã quy định bổ sung thêm 01 trường hợp so với </w:t>
      </w:r>
      <w:r w:rsidRPr="00962390">
        <w:rPr>
          <w:spacing w:val="-2"/>
          <w:lang w:val="af-ZA"/>
        </w:rPr>
        <w:t xml:space="preserve">khoản 12 Điều 3 của Luật </w:t>
      </w:r>
      <w:r>
        <w:rPr>
          <w:spacing w:val="-2"/>
          <w:lang w:val="af-ZA"/>
        </w:rPr>
        <w:t>BHXH, cụ thể: “</w:t>
      </w:r>
      <w:r w:rsidRPr="00962390">
        <w:rPr>
          <w:spacing w:val="-2"/>
          <w:lang w:val="af-ZA"/>
        </w:rPr>
        <w:t xml:space="preserve">Được cơ quan </w:t>
      </w:r>
      <w:r>
        <w:rPr>
          <w:spacing w:val="-2"/>
          <w:lang w:val="af-ZA"/>
        </w:rPr>
        <w:t>BHXH</w:t>
      </w:r>
      <w:r w:rsidRPr="00962390">
        <w:rPr>
          <w:spacing w:val="-2"/>
          <w:lang w:val="af-ZA"/>
        </w:rPr>
        <w:t xml:space="preserve"> xác nhận đã đối chiếu với bản chính</w:t>
      </w:r>
      <w:r>
        <w:rPr>
          <w:spacing w:val="-2"/>
          <w:lang w:val="af-ZA"/>
        </w:rPr>
        <w:t>”</w:t>
      </w:r>
      <w:r w:rsidRPr="00962390">
        <w:rPr>
          <w:spacing w:val="-2"/>
          <w:lang w:val="af-ZA"/>
        </w:rPr>
        <w:t>.</w:t>
      </w:r>
    </w:p>
    <w:p w:rsidR="00D173B3" w:rsidRDefault="00962390" w:rsidP="007B007B">
      <w:pPr>
        <w:widowControl w:val="0"/>
        <w:pBdr>
          <w:top w:val="dotted" w:sz="4" w:space="0" w:color="FFFFFF"/>
          <w:left w:val="dotted" w:sz="4" w:space="0" w:color="FFFFFF"/>
          <w:bottom w:val="dotted" w:sz="4" w:space="9" w:color="FFFFFF"/>
          <w:right w:val="dotted" w:sz="4" w:space="0" w:color="FFFFFF"/>
        </w:pBdr>
        <w:spacing w:before="120" w:line="310" w:lineRule="auto"/>
        <w:ind w:firstLine="720"/>
        <w:jc w:val="both"/>
      </w:pPr>
      <w:r>
        <w:t>- Về mức tham chiếu (Điều 5): được quy định chi tiết từ nội dung tại Điều 7 và khoản 13 Điều 141 của Luật BHXH.</w:t>
      </w:r>
    </w:p>
    <w:p w:rsidR="005B3B0C" w:rsidRPr="00371EFD" w:rsidRDefault="00D173B3" w:rsidP="007B007B">
      <w:pPr>
        <w:widowControl w:val="0"/>
        <w:pBdr>
          <w:top w:val="dotted" w:sz="4" w:space="0" w:color="FFFFFF"/>
          <w:left w:val="dotted" w:sz="4" w:space="0" w:color="FFFFFF"/>
          <w:bottom w:val="dotted" w:sz="4" w:space="9" w:color="FFFFFF"/>
          <w:right w:val="dotted" w:sz="4" w:space="0" w:color="FFFFFF"/>
        </w:pBdr>
        <w:spacing w:before="120" w:line="310" w:lineRule="auto"/>
        <w:ind w:firstLine="720"/>
        <w:jc w:val="both"/>
        <w:rPr>
          <w:i/>
        </w:rPr>
      </w:pPr>
      <w:r w:rsidRPr="00371EFD">
        <w:rPr>
          <w:i/>
        </w:rPr>
        <w:t xml:space="preserve">2.2. Chương II. Đăng ký tham gia và quản lý thu, đóng </w:t>
      </w:r>
      <w:r w:rsidR="006803ED" w:rsidRPr="00371EFD">
        <w:rPr>
          <w:i/>
        </w:rPr>
        <w:t>BHXH</w:t>
      </w:r>
      <w:r w:rsidRPr="00371EFD">
        <w:rPr>
          <w:i/>
        </w:rPr>
        <w:t xml:space="preserve"> bắt buộc</w:t>
      </w:r>
    </w:p>
    <w:p w:rsidR="00993A20" w:rsidRDefault="006803ED" w:rsidP="007B007B">
      <w:pPr>
        <w:widowControl w:val="0"/>
        <w:pBdr>
          <w:top w:val="dotted" w:sz="4" w:space="0" w:color="FFFFFF"/>
          <w:left w:val="dotted" w:sz="4" w:space="0" w:color="FFFFFF"/>
          <w:bottom w:val="dotted" w:sz="4" w:space="9" w:color="FFFFFF"/>
          <w:right w:val="dotted" w:sz="4" w:space="0" w:color="FFFFFF"/>
        </w:pBdr>
        <w:spacing w:before="120" w:line="310" w:lineRule="auto"/>
        <w:ind w:firstLine="720"/>
        <w:jc w:val="both"/>
      </w:pPr>
      <w:r>
        <w:t xml:space="preserve">Chương này </w:t>
      </w:r>
      <w:r w:rsidR="00962390">
        <w:t xml:space="preserve">gồm </w:t>
      </w:r>
      <w:r w:rsidR="000A5906">
        <w:t>06</w:t>
      </w:r>
      <w:r w:rsidR="00962390">
        <w:t xml:space="preserve"> điều, từ Điều 6 đến Điều 11: </w:t>
      </w:r>
      <w:r>
        <w:t>quy định về việc: Đ</w:t>
      </w:r>
      <w:r w:rsidRPr="006803ED">
        <w:t xml:space="preserve">ăng ký tham gia </w:t>
      </w:r>
      <w:r w:rsidR="00C11E83">
        <w:t>BHXH</w:t>
      </w:r>
      <w:r>
        <w:t xml:space="preserve"> và cấp sổ BHXH; </w:t>
      </w:r>
      <w:r w:rsidRPr="006803ED">
        <w:t>Tiền lương làm căn cứ đóng</w:t>
      </w:r>
      <w:r>
        <w:t xml:space="preserve">; </w:t>
      </w:r>
      <w:r w:rsidRPr="006803ED">
        <w:t>Truy thu, truy đóng</w:t>
      </w:r>
      <w:r w:rsidR="00993A20">
        <w:t xml:space="preserve">; </w:t>
      </w:r>
      <w:r w:rsidR="00993A20" w:rsidRPr="00993A20">
        <w:t>Mức đóng, phương thức và thời hạn đóng</w:t>
      </w:r>
      <w:r w:rsidR="00993A20">
        <w:t>; Tạm dừng đóng</w:t>
      </w:r>
      <w:r w:rsidRPr="006803ED">
        <w:t xml:space="preserve"> </w:t>
      </w:r>
      <w:r>
        <w:t>BHXH</w:t>
      </w:r>
      <w:r w:rsidRPr="006803ED">
        <w:t xml:space="preserve"> bắt buộc</w:t>
      </w:r>
      <w:r w:rsidR="00993A20">
        <w:t>.</w:t>
      </w:r>
    </w:p>
    <w:p w:rsidR="000A5906" w:rsidRDefault="000A5906" w:rsidP="007B007B">
      <w:pPr>
        <w:widowControl w:val="0"/>
        <w:pBdr>
          <w:top w:val="dotted" w:sz="4" w:space="0" w:color="FFFFFF"/>
          <w:left w:val="dotted" w:sz="4" w:space="0" w:color="FFFFFF"/>
          <w:bottom w:val="dotted" w:sz="4" w:space="9" w:color="FFFFFF"/>
          <w:right w:val="dotted" w:sz="4" w:space="0" w:color="FFFFFF"/>
        </w:pBdr>
        <w:spacing w:before="120" w:line="310" w:lineRule="auto"/>
        <w:ind w:firstLine="720"/>
        <w:jc w:val="both"/>
        <w:rPr>
          <w:spacing w:val="-2"/>
          <w:lang w:val="af-ZA"/>
        </w:rPr>
      </w:pPr>
      <w:r>
        <w:t>- Về đ</w:t>
      </w:r>
      <w:r w:rsidRPr="000A5906">
        <w:t xml:space="preserve">ăng ký tham gia </w:t>
      </w:r>
      <w:r>
        <w:t>BHXH</w:t>
      </w:r>
      <w:r w:rsidRPr="000A5906">
        <w:t xml:space="preserve"> và cấp sổ </w:t>
      </w:r>
      <w:r>
        <w:t xml:space="preserve">BHXH (Điều 6): dự thảo Nghị định quy định chi tiết việc đăng ký tham gia BHXH bắt buộc đối với đối tượng quy định tại các điểm </w:t>
      </w:r>
      <w:r>
        <w:rPr>
          <w:lang w:val="af-ZA"/>
        </w:rPr>
        <w:t>m,</w:t>
      </w:r>
      <w:r w:rsidRPr="00180127">
        <w:rPr>
          <w:lang w:val="af-ZA"/>
        </w:rPr>
        <w:t xml:space="preserve"> </w:t>
      </w:r>
      <w:r>
        <w:rPr>
          <w:lang w:val="af-ZA"/>
        </w:rPr>
        <w:t>n, g và h</w:t>
      </w:r>
      <w:r w:rsidRPr="00180127">
        <w:rPr>
          <w:lang w:val="af-ZA"/>
        </w:rPr>
        <w:t xml:space="preserve"> khoản 1 </w:t>
      </w:r>
      <w:r w:rsidRPr="007B7BFE">
        <w:rPr>
          <w:spacing w:val="-2"/>
          <w:lang w:val="af-ZA"/>
        </w:rPr>
        <w:t xml:space="preserve">Điều </w:t>
      </w:r>
      <w:r>
        <w:rPr>
          <w:spacing w:val="-2"/>
          <w:lang w:val="af-ZA"/>
        </w:rPr>
        <w:t>2 của Luật BHXH, đây là các nhóm đối tượng đặc thù không có người sử dụng lao động như các đối tượng khác.</w:t>
      </w:r>
    </w:p>
    <w:p w:rsidR="000A5906" w:rsidRPr="000A5906" w:rsidRDefault="000A5906" w:rsidP="007B007B">
      <w:pPr>
        <w:widowControl w:val="0"/>
        <w:pBdr>
          <w:top w:val="dotted" w:sz="4" w:space="0" w:color="FFFFFF"/>
          <w:left w:val="dotted" w:sz="4" w:space="0" w:color="FFFFFF"/>
          <w:bottom w:val="dotted" w:sz="4" w:space="9" w:color="FFFFFF"/>
          <w:right w:val="dotted" w:sz="4" w:space="0" w:color="FFFFFF"/>
        </w:pBdr>
        <w:spacing w:before="120" w:line="310" w:lineRule="auto"/>
        <w:ind w:firstLine="720"/>
        <w:jc w:val="both"/>
      </w:pPr>
      <w:r>
        <w:t>- Về t</w:t>
      </w:r>
      <w:r w:rsidRPr="000A5906">
        <w:t xml:space="preserve">iền lương làm căn cứ đóng </w:t>
      </w:r>
      <w:r>
        <w:t>BHXH</w:t>
      </w:r>
      <w:r w:rsidRPr="000A5906">
        <w:t xml:space="preserve"> bắt buộc</w:t>
      </w:r>
      <w:r>
        <w:t xml:space="preserve"> (Điều 7): dự thảo Nghị định quy định tiền lương làm căn cứ đóng BHXH bắt buộc đối với n</w:t>
      </w:r>
      <w:r w:rsidRPr="007B7BFE">
        <w:rPr>
          <w:lang w:val="vi-VN"/>
        </w:rPr>
        <w:t>gười lao động thuộc đối tượng thực hiện chế độ tiền lương do người sử dụng lao động quyết định</w:t>
      </w:r>
      <w:r>
        <w:t xml:space="preserve"> theo hướng </w:t>
      </w:r>
      <w:r w:rsidR="00ED77C3">
        <w:t xml:space="preserve">trên cơ sở quy định về tiền lương theo quy định của pháp luật lao động để xác định các khoản (mức lương, phụ cấp lương, bổ sung khác) phải đóng BHXH bắt buộc. </w:t>
      </w:r>
    </w:p>
    <w:p w:rsidR="002D56B1" w:rsidRDefault="00ED77C3" w:rsidP="007B007B">
      <w:pPr>
        <w:widowControl w:val="0"/>
        <w:pBdr>
          <w:top w:val="dotted" w:sz="4" w:space="0" w:color="FFFFFF"/>
          <w:left w:val="dotted" w:sz="4" w:space="0" w:color="FFFFFF"/>
          <w:bottom w:val="dotted" w:sz="4" w:space="9" w:color="FFFFFF"/>
          <w:right w:val="dotted" w:sz="4" w:space="0" w:color="FFFFFF"/>
        </w:pBdr>
        <w:spacing w:before="120" w:line="310" w:lineRule="auto"/>
        <w:ind w:firstLine="720"/>
        <w:jc w:val="both"/>
        <w:rPr>
          <w:color w:val="000000"/>
          <w:lang w:val="vi-VN"/>
        </w:rPr>
      </w:pPr>
      <w:r>
        <w:t>Về t</w:t>
      </w:r>
      <w:r w:rsidRPr="00B77FFB">
        <w:rPr>
          <w:color w:val="000000"/>
        </w:rPr>
        <w:t xml:space="preserve">iền lương </w:t>
      </w:r>
      <w:r w:rsidRPr="00B77FFB">
        <w:rPr>
          <w:color w:val="000000"/>
          <w:lang w:val="vi-VN"/>
        </w:rPr>
        <w:t xml:space="preserve">làm căn cứ đóng </w:t>
      </w:r>
      <w:r>
        <w:rPr>
          <w:color w:val="000000"/>
        </w:rPr>
        <w:t>BHXH</w:t>
      </w:r>
      <w:r w:rsidRPr="00B77FFB">
        <w:rPr>
          <w:color w:val="000000"/>
          <w:lang w:val="vi-VN"/>
        </w:rPr>
        <w:t xml:space="preserve"> bắt buộc</w:t>
      </w:r>
      <w:r w:rsidRPr="00DC5A1C">
        <w:rPr>
          <w:color w:val="000000"/>
          <w:lang w:val="vi-VN"/>
        </w:rPr>
        <w:t xml:space="preserve"> </w:t>
      </w:r>
      <w:r>
        <w:rPr>
          <w:color w:val="000000"/>
        </w:rPr>
        <w:t xml:space="preserve">đối với </w:t>
      </w:r>
      <w:r w:rsidRPr="00E60B5B">
        <w:rPr>
          <w:color w:val="000000"/>
          <w:lang w:val="vi-VN"/>
        </w:rPr>
        <w:t>người hoạt động không chuyên trách ở cấp xã, ở thôn, tổ dân</w:t>
      </w:r>
      <w:r>
        <w:rPr>
          <w:color w:val="000000"/>
        </w:rPr>
        <w:t xml:space="preserve"> phố</w:t>
      </w:r>
      <w:r>
        <w:t xml:space="preserve"> (đ</w:t>
      </w:r>
      <w:r w:rsidRPr="00F43F14">
        <w:t xml:space="preserve">ối tượng quy định tại điểm k khoản 1 Điều 2 của Luật </w:t>
      </w:r>
      <w:r>
        <w:t xml:space="preserve">BHXH: Theo quy định </w:t>
      </w:r>
      <w:r>
        <w:rPr>
          <w:color w:val="000000"/>
        </w:rPr>
        <w:t>hiện hành thì tiền lương làm căn cứ đóng BHXH đối với người hoạt động không chuyên trách ở cấp xã là mức lương cơ sở</w:t>
      </w:r>
      <w:r>
        <w:rPr>
          <w:rStyle w:val="FootnoteReference"/>
          <w:color w:val="000000"/>
        </w:rPr>
        <w:footnoteReference w:id="2"/>
      </w:r>
      <w:r w:rsidRPr="00E60B5B">
        <w:rPr>
          <w:bCs/>
          <w:color w:val="000000"/>
          <w:lang w:val="vi-VN"/>
        </w:rPr>
        <w:t>.</w:t>
      </w:r>
      <w:r>
        <w:rPr>
          <w:bCs/>
          <w:color w:val="000000"/>
        </w:rPr>
        <w:t xml:space="preserve"> Tuy nhiên, hiện nay </w:t>
      </w:r>
      <w:r w:rsidRPr="00E60B5B">
        <w:rPr>
          <w:color w:val="000000"/>
          <w:lang w:val="vi-VN"/>
        </w:rPr>
        <w:t>người hoạt động không chuyên trách ở cấp xã, ở thôn, tổ dân</w:t>
      </w:r>
      <w:r>
        <w:rPr>
          <w:color w:val="000000"/>
        </w:rPr>
        <w:t xml:space="preserve"> phố được hưởng </w:t>
      </w:r>
      <w:r w:rsidR="002D56B1">
        <w:rPr>
          <w:color w:val="000000"/>
        </w:rPr>
        <w:t>chế độ phụ cấp do ngân sách nhà nước Trung ương khoán cho các địa phương với mức bằng từ 1,5 – 2 lần mức lương cơ sở</w:t>
      </w:r>
      <w:r w:rsidR="002D56B1">
        <w:rPr>
          <w:rStyle w:val="FootnoteReference"/>
          <w:color w:val="000000"/>
        </w:rPr>
        <w:footnoteReference w:id="3"/>
      </w:r>
      <w:r w:rsidR="002D56B1">
        <w:rPr>
          <w:color w:val="000000"/>
        </w:rPr>
        <w:t xml:space="preserve">. Chính vì vậy, dự thảo Nghị định đề xuất quy định </w:t>
      </w:r>
      <w:r w:rsidR="002D56B1">
        <w:t>t</w:t>
      </w:r>
      <w:r w:rsidR="002D56B1" w:rsidRPr="00B77FFB">
        <w:rPr>
          <w:color w:val="000000"/>
        </w:rPr>
        <w:t xml:space="preserve">iền lương </w:t>
      </w:r>
      <w:r w:rsidR="002D56B1" w:rsidRPr="00B77FFB">
        <w:rPr>
          <w:color w:val="000000"/>
          <w:lang w:val="vi-VN"/>
        </w:rPr>
        <w:t xml:space="preserve">làm căn cứ đóng </w:t>
      </w:r>
      <w:r w:rsidR="002D56B1">
        <w:rPr>
          <w:color w:val="000000"/>
        </w:rPr>
        <w:t>BHXH</w:t>
      </w:r>
      <w:r w:rsidR="002D56B1" w:rsidRPr="00B77FFB">
        <w:rPr>
          <w:color w:val="000000"/>
          <w:lang w:val="vi-VN"/>
        </w:rPr>
        <w:t xml:space="preserve"> bắt buộc</w:t>
      </w:r>
      <w:r w:rsidR="002D56B1" w:rsidRPr="00DC5A1C">
        <w:rPr>
          <w:color w:val="000000"/>
          <w:lang w:val="vi-VN"/>
        </w:rPr>
        <w:t xml:space="preserve"> </w:t>
      </w:r>
      <w:r w:rsidR="002D56B1">
        <w:rPr>
          <w:color w:val="000000"/>
        </w:rPr>
        <w:t>đối với</w:t>
      </w:r>
      <w:r w:rsidR="002D56B1" w:rsidRPr="002D56B1">
        <w:rPr>
          <w:color w:val="000000"/>
          <w:lang w:val="vi-VN"/>
        </w:rPr>
        <w:t xml:space="preserve"> </w:t>
      </w:r>
      <w:r w:rsidR="002D56B1" w:rsidRPr="00E60B5B">
        <w:rPr>
          <w:color w:val="000000"/>
          <w:lang w:val="vi-VN"/>
        </w:rPr>
        <w:t>người hoạt động không chuyên trách ở cấp xã, ở thôn, tổ dân</w:t>
      </w:r>
      <w:r w:rsidR="002D56B1">
        <w:rPr>
          <w:color w:val="000000"/>
        </w:rPr>
        <w:t xml:space="preserve"> phố</w:t>
      </w:r>
      <w:r w:rsidR="002D56B1">
        <w:t xml:space="preserve"> là m</w:t>
      </w:r>
      <w:r w:rsidR="002D56B1" w:rsidRPr="00E60B5B">
        <w:rPr>
          <w:color w:val="000000"/>
          <w:lang w:val="vi-VN"/>
        </w:rPr>
        <w:t>ức phụ cấp h</w:t>
      </w:r>
      <w:r w:rsidR="002D56B1">
        <w:rPr>
          <w:color w:val="000000"/>
        </w:rPr>
        <w:t>ằ</w:t>
      </w:r>
      <w:r w:rsidR="002D56B1" w:rsidRPr="00E60B5B">
        <w:rPr>
          <w:color w:val="000000"/>
          <w:lang w:val="vi-VN"/>
        </w:rPr>
        <w:t>ng tháng</w:t>
      </w:r>
      <w:r w:rsidR="002D56B1">
        <w:rPr>
          <w:color w:val="000000"/>
          <w:lang w:val="vi-VN"/>
        </w:rPr>
        <w:t>.</w:t>
      </w:r>
    </w:p>
    <w:p w:rsidR="002D56B1" w:rsidRDefault="002D56B1"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rPr>
          <w:bCs/>
          <w:color w:val="000000"/>
        </w:rPr>
      </w:pPr>
      <w:r>
        <w:rPr>
          <w:lang w:eastAsia="vi-VN"/>
        </w:rPr>
        <w:lastRenderedPageBreak/>
        <w:t>Bên cạnh đó, dự thảo Nghị định quy định t</w:t>
      </w:r>
      <w:r w:rsidRPr="00A13EAC">
        <w:rPr>
          <w:lang w:val="vi-VN" w:eastAsia="vi-VN"/>
        </w:rPr>
        <w:t xml:space="preserve">iền lương </w:t>
      </w:r>
      <w:r>
        <w:rPr>
          <w:lang w:eastAsia="vi-VN"/>
        </w:rPr>
        <w:t>làm căn cứ</w:t>
      </w:r>
      <w:r w:rsidRPr="00A13EAC">
        <w:rPr>
          <w:lang w:val="vi-VN" w:eastAsia="vi-VN"/>
        </w:rPr>
        <w:t xml:space="preserve"> đóng </w:t>
      </w:r>
      <w:r>
        <w:rPr>
          <w:lang w:eastAsia="vi-VN"/>
        </w:rPr>
        <w:t>BHXH</w:t>
      </w:r>
      <w:r w:rsidRPr="00A13EAC">
        <w:rPr>
          <w:lang w:val="vi-VN" w:eastAsia="vi-VN"/>
        </w:rPr>
        <w:t xml:space="preserve"> </w:t>
      </w:r>
      <w:r>
        <w:rPr>
          <w:lang w:eastAsia="vi-VN"/>
        </w:rPr>
        <w:t>bắt buộc trong trường hợp t</w:t>
      </w:r>
      <w:r w:rsidRPr="009A09C8">
        <w:rPr>
          <w:lang w:eastAsia="vi-VN"/>
        </w:rPr>
        <w:t>iền lương ghi trong hợp đồng lao động và tiền lương trả cho người lao động</w:t>
      </w:r>
      <w:r>
        <w:rPr>
          <w:lang w:eastAsia="vi-VN"/>
        </w:rPr>
        <w:t xml:space="preserve"> </w:t>
      </w:r>
      <w:r w:rsidRPr="00A13EAC">
        <w:rPr>
          <w:lang w:val="vi-VN" w:eastAsia="vi-VN"/>
        </w:rPr>
        <w:t xml:space="preserve">bằng ngoại tệ </w:t>
      </w:r>
      <w:r>
        <w:rPr>
          <w:lang w:eastAsia="vi-VN"/>
        </w:rPr>
        <w:t>trên cơ sở kế thừa quy định hiện hành</w:t>
      </w:r>
      <w:r>
        <w:rPr>
          <w:rStyle w:val="FootnoteReference"/>
          <w:lang w:eastAsia="vi-VN"/>
        </w:rPr>
        <w:footnoteReference w:id="4"/>
      </w:r>
      <w:r w:rsidRPr="00A13EAC">
        <w:rPr>
          <w:lang w:val="vi-VN" w:eastAsia="vi-VN"/>
        </w:rPr>
        <w:t>.</w:t>
      </w:r>
      <w:r w:rsidR="00ED77C3">
        <w:rPr>
          <w:bCs/>
          <w:color w:val="000000"/>
        </w:rPr>
        <w:t xml:space="preserve"> </w:t>
      </w:r>
    </w:p>
    <w:p w:rsidR="000868A5" w:rsidRDefault="002D56B1"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pPr>
      <w:r>
        <w:t>- Về t</w:t>
      </w:r>
      <w:r w:rsidRPr="002D56B1">
        <w:t xml:space="preserve">ruy thu, truy đóng </w:t>
      </w:r>
      <w:r>
        <w:t>BHXH</w:t>
      </w:r>
      <w:r w:rsidRPr="002D56B1">
        <w:t xml:space="preserve"> bắt buộc</w:t>
      </w:r>
      <w:r>
        <w:t xml:space="preserve">: </w:t>
      </w:r>
      <w:r w:rsidR="0063742E">
        <w:t>kế thừa các trường hợp truy thu, truy đóng của pháp luật hiện hành</w:t>
      </w:r>
      <w:r w:rsidR="0063742E">
        <w:rPr>
          <w:rStyle w:val="FootnoteReference"/>
        </w:rPr>
        <w:footnoteReference w:id="5"/>
      </w:r>
      <w:r w:rsidR="0063742E">
        <w:t xml:space="preserve">; đồng thời bổ sung quy định truy thu, truy đóng đối với trường hợp </w:t>
      </w:r>
      <w:r w:rsidR="0063742E">
        <w:rPr>
          <w:lang w:eastAsia="vi-VN"/>
        </w:rPr>
        <w:t xml:space="preserve">đối tượng quy định tại điểm m và điểm n khoản 1 Điều 2 của Luật BHXH đóng sau thời hạn </w:t>
      </w:r>
      <w:r w:rsidR="0063742E" w:rsidRPr="007B7BFE">
        <w:rPr>
          <w:spacing w:val="2"/>
          <w:lang w:val="af-ZA"/>
        </w:rPr>
        <w:t xml:space="preserve">đóng </w:t>
      </w:r>
      <w:r w:rsidR="00C11E83">
        <w:rPr>
          <w:spacing w:val="2"/>
          <w:lang w:val="af-ZA"/>
        </w:rPr>
        <w:t>BHXH</w:t>
      </w:r>
      <w:r w:rsidR="0063742E" w:rsidRPr="007B7BFE">
        <w:rPr>
          <w:spacing w:val="2"/>
          <w:lang w:val="af-ZA"/>
        </w:rPr>
        <w:t xml:space="preserve"> chậm nhất quy định tại </w:t>
      </w:r>
      <w:r w:rsidR="0063742E">
        <w:rPr>
          <w:spacing w:val="2"/>
          <w:lang w:val="af-ZA"/>
        </w:rPr>
        <w:t xml:space="preserve">điểm b </w:t>
      </w:r>
      <w:r w:rsidR="0063742E" w:rsidRPr="007B7BFE">
        <w:rPr>
          <w:spacing w:val="2"/>
          <w:lang w:val="af-ZA"/>
        </w:rPr>
        <w:t>khoản 4 Điều 3</w:t>
      </w:r>
      <w:r w:rsidR="0063742E">
        <w:rPr>
          <w:spacing w:val="2"/>
          <w:lang w:val="af-ZA"/>
        </w:rPr>
        <w:t>3</w:t>
      </w:r>
      <w:r w:rsidR="0063742E" w:rsidRPr="007B7BFE">
        <w:rPr>
          <w:spacing w:val="2"/>
          <w:lang w:val="af-ZA"/>
        </w:rPr>
        <w:t xml:space="preserve"> của Luật </w:t>
      </w:r>
      <w:r w:rsidR="0063742E">
        <w:rPr>
          <w:iCs/>
          <w:spacing w:val="2"/>
          <w:lang w:val="af-ZA"/>
        </w:rPr>
        <w:t>BHXH.</w:t>
      </w:r>
      <w:r w:rsidRPr="002D56B1">
        <w:t xml:space="preserve"> </w:t>
      </w:r>
    </w:p>
    <w:p w:rsidR="00993A20" w:rsidRPr="006803ED" w:rsidRDefault="000868A5"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pPr>
      <w:r w:rsidRPr="007B007B">
        <w:rPr>
          <w:bCs/>
          <w:lang w:eastAsia="vi-VN"/>
        </w:rPr>
        <w:t>Về t</w:t>
      </w:r>
      <w:r w:rsidRPr="007B007B">
        <w:rPr>
          <w:bCs/>
          <w:lang w:val="vi-VN" w:eastAsia="vi-VN"/>
        </w:rPr>
        <w:t xml:space="preserve">ạm dừng đóng vào quỹ hưu trí và tử tuất </w:t>
      </w:r>
      <w:r w:rsidRPr="007B007B">
        <w:rPr>
          <w:bCs/>
          <w:lang w:eastAsia="vi-VN"/>
        </w:rPr>
        <w:t>(Điều 10) và tạm dừng đóng BHXH (Điều 11):</w:t>
      </w:r>
      <w:r>
        <w:rPr>
          <w:bCs/>
          <w:lang w:eastAsia="vi-VN"/>
        </w:rPr>
        <w:t xml:space="preserve"> về cơ bản được kế thừa từ quy định hiện hành</w:t>
      </w:r>
      <w:r>
        <w:rPr>
          <w:rStyle w:val="FootnoteReference"/>
          <w:bCs/>
          <w:lang w:eastAsia="vi-VN"/>
        </w:rPr>
        <w:footnoteReference w:id="6"/>
      </w:r>
      <w:r>
        <w:rPr>
          <w:bCs/>
          <w:lang w:eastAsia="vi-VN"/>
        </w:rPr>
        <w:t>.</w:t>
      </w:r>
    </w:p>
    <w:p w:rsidR="006803ED" w:rsidRPr="00371EFD" w:rsidRDefault="00993A20"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rPr>
          <w:i/>
        </w:rPr>
      </w:pPr>
      <w:r w:rsidRPr="00371EFD">
        <w:rPr>
          <w:i/>
        </w:rPr>
        <w:t>2.3. Chương III. Chế độ BHXH bắt buộc</w:t>
      </w:r>
    </w:p>
    <w:p w:rsidR="00993A20" w:rsidRDefault="00993A20"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pPr>
      <w:r>
        <w:t xml:space="preserve">Chương này </w:t>
      </w:r>
      <w:r w:rsidR="00EA0FB5">
        <w:t>gồm 10 điều, từ Điều 12 đến Điều 21, kết cấu thành 02 mục: chế độ hưu trí và chế độ tử tuất.</w:t>
      </w:r>
    </w:p>
    <w:p w:rsidR="003C4527" w:rsidRPr="007B007B" w:rsidRDefault="003C4527" w:rsidP="007B007B">
      <w:pPr>
        <w:widowControl w:val="0"/>
        <w:spacing w:before="120" w:line="288" w:lineRule="auto"/>
        <w:ind w:firstLine="720"/>
        <w:jc w:val="both"/>
        <w:rPr>
          <w:i/>
        </w:rPr>
      </w:pPr>
      <w:r w:rsidRPr="007B007B">
        <w:rPr>
          <w:i/>
        </w:rPr>
        <w:t>a)</w:t>
      </w:r>
      <w:r w:rsidR="00EA0FB5" w:rsidRPr="007B007B">
        <w:rPr>
          <w:i/>
        </w:rPr>
        <w:t xml:space="preserve"> Về chế độ hưu trí (mục 1): </w:t>
      </w:r>
      <w:r w:rsidRPr="007B007B">
        <w:rPr>
          <w:i/>
        </w:rPr>
        <w:t>Nội dung mục này tập trung quy định, làm rõ một số nội dung chính như:</w:t>
      </w:r>
    </w:p>
    <w:p w:rsidR="00EA0FB5" w:rsidRDefault="003C4527" w:rsidP="007B007B">
      <w:pPr>
        <w:widowControl w:val="0"/>
        <w:spacing w:before="120" w:line="288" w:lineRule="auto"/>
        <w:ind w:firstLine="720"/>
        <w:jc w:val="both"/>
        <w:rPr>
          <w:spacing w:val="-2"/>
          <w:lang w:val="af-ZA" w:eastAsia="ja-JP"/>
        </w:rPr>
      </w:pPr>
      <w:r>
        <w:t xml:space="preserve">- </w:t>
      </w:r>
      <w:r w:rsidR="00EA0FB5">
        <w:t xml:space="preserve">Liên quan đến điều kiện hưởng lương hưu, dự thảo </w:t>
      </w:r>
      <w:r>
        <w:t xml:space="preserve">Nghị định đã quy định phụ lục về </w:t>
      </w:r>
      <w:r>
        <w:rPr>
          <w:bCs/>
          <w:iCs/>
        </w:rPr>
        <w:t>c</w:t>
      </w:r>
      <w:r w:rsidRPr="007B7BFE">
        <w:t>ông việc khai thác than trong hầm lò</w:t>
      </w:r>
      <w:r>
        <w:t xml:space="preserve">; quy định việc xác định tuổi làm cơ sở xác định điều kiện hưởng lương hưu </w:t>
      </w:r>
      <w:r w:rsidRPr="007B7BFE">
        <w:t xml:space="preserve">đối với </w:t>
      </w:r>
      <w:r>
        <w:t xml:space="preserve">một số trường hợp đặc biệt như </w:t>
      </w:r>
      <w:r w:rsidRPr="00AF575D">
        <w:t>không xác định được ngày, tháng sinh</w:t>
      </w:r>
      <w:r>
        <w:t xml:space="preserve">; </w:t>
      </w:r>
      <w:r w:rsidRPr="00713ACE">
        <w:rPr>
          <w:bCs/>
          <w:lang w:val="pt-BR"/>
        </w:rPr>
        <w:t>thời gian làm việc ở nơi có phụ cấp khu vực hệ số 0,7 trở lên</w:t>
      </w:r>
      <w:r>
        <w:rPr>
          <w:bCs/>
          <w:lang w:val="pt-BR"/>
        </w:rPr>
        <w:t xml:space="preserve">, </w:t>
      </w:r>
      <w:r w:rsidRPr="00993D80">
        <w:rPr>
          <w:spacing w:val="-2"/>
          <w:lang w:val="af-ZA" w:eastAsia="ja-JP"/>
        </w:rPr>
        <w:t>thời gian công tác tại các chiến trường B, C trước ngày 30 tháng 4 năm 1975 và chiến trường K trước ngày 31 tháng 8 năm 1989.</w:t>
      </w:r>
    </w:p>
    <w:p w:rsidR="003C4527" w:rsidRDefault="003C4527" w:rsidP="007B007B">
      <w:pPr>
        <w:widowControl w:val="0"/>
        <w:spacing w:before="120" w:line="288" w:lineRule="auto"/>
        <w:ind w:firstLine="720"/>
        <w:jc w:val="both"/>
      </w:pPr>
      <w:r>
        <w:t>- Quy định m</w:t>
      </w:r>
      <w:r w:rsidRPr="00F530FB">
        <w:rPr>
          <w:lang w:val="vi-VN"/>
        </w:rPr>
        <w:t xml:space="preserve">ốc tuổi để tính số năm nghỉ hưu trước tuổi </w:t>
      </w:r>
      <w:r>
        <w:t xml:space="preserve">quy định </w:t>
      </w:r>
      <w:r w:rsidRPr="00F530FB">
        <w:rPr>
          <w:lang w:val="vi-VN"/>
        </w:rPr>
        <w:t xml:space="preserve">làm cơ sở tính giảm tỷ lệ hưởng lương hưu quy định tại khoản 3 Điều </w:t>
      </w:r>
      <w:r>
        <w:t>6</w:t>
      </w:r>
      <w:r w:rsidRPr="00F530FB">
        <w:rPr>
          <w:lang w:val="vi-VN"/>
        </w:rPr>
        <w:t xml:space="preserve">6 của Luật </w:t>
      </w:r>
      <w:r>
        <w:t xml:space="preserve">BHXH. </w:t>
      </w:r>
    </w:p>
    <w:p w:rsidR="003C4527" w:rsidRDefault="003C4527" w:rsidP="007B007B">
      <w:pPr>
        <w:widowControl w:val="0"/>
        <w:spacing w:before="120" w:line="288" w:lineRule="auto"/>
        <w:ind w:firstLine="720"/>
        <w:jc w:val="both"/>
      </w:pPr>
      <w:r>
        <w:t xml:space="preserve">- Liên quan đến hưởng BHXH một lần: quy định chi tiết để làm rõ trường hợp hưởng BHXH một lần quy định tại điểm đ khoản 1 Điều 70 của Luật BHXH không bao gồm trường hợp người lao động có thời gian đóng BHXH trước ngày 01/7/2025 nhưng đã hưởng BHXH một lần đối với toàn bộ thời gian đóng BHXH trước ngày 01/7/2025; </w:t>
      </w:r>
      <w:r w:rsidR="00155672">
        <w:t>v</w:t>
      </w:r>
      <w:r>
        <w:t xml:space="preserve">iệc xác định 12 tháng không thuộc đối tượng tham gia </w:t>
      </w:r>
      <w:r w:rsidR="00155672">
        <w:t>BHXH</w:t>
      </w:r>
      <w:r>
        <w:t xml:space="preserve"> bắt buộc.</w:t>
      </w:r>
    </w:p>
    <w:p w:rsidR="005949EE" w:rsidRDefault="00155672">
      <w:pPr>
        <w:widowControl w:val="0"/>
        <w:spacing w:before="120" w:line="288" w:lineRule="auto"/>
        <w:ind w:firstLine="720"/>
        <w:jc w:val="both"/>
        <w:rPr>
          <w:color w:val="000000"/>
          <w:lang w:val="af-ZA"/>
        </w:rPr>
      </w:pPr>
      <w:r>
        <w:t>- Quy định chi tiêt m</w:t>
      </w:r>
      <w:r w:rsidRPr="00155672">
        <w:t xml:space="preserve">ức bình quân tiền lương làm căn cứ đóng </w:t>
      </w:r>
      <w:r>
        <w:t>BHXH</w:t>
      </w:r>
      <w:r w:rsidRPr="00155672">
        <w:t xml:space="preserve"> để tính lương hưu, trợ cấp một lần</w:t>
      </w:r>
      <w:r>
        <w:t xml:space="preserve">; trong đó quy định trường hợp đặc biệt </w:t>
      </w:r>
      <w:r>
        <w:rPr>
          <w:color w:val="000000"/>
          <w:lang w:val="af-ZA"/>
        </w:rPr>
        <w:t>t</w:t>
      </w:r>
      <w:r w:rsidRPr="000658EA">
        <w:rPr>
          <w:color w:val="000000"/>
          <w:lang w:val="af-ZA"/>
        </w:rPr>
        <w:t>rường hợp</w:t>
      </w:r>
      <w:r w:rsidRPr="00C013F1">
        <w:rPr>
          <w:color w:val="000000"/>
          <w:lang w:val="af-ZA"/>
        </w:rPr>
        <w:t xml:space="preserve"> </w:t>
      </w:r>
      <w:r w:rsidRPr="00C013F1">
        <w:rPr>
          <w:color w:val="000000"/>
          <w:lang w:val="af-ZA"/>
        </w:rPr>
        <w:lastRenderedPageBreak/>
        <w:t xml:space="preserve">trong quá trình đóng </w:t>
      </w:r>
      <w:r>
        <w:rPr>
          <w:color w:val="000000"/>
          <w:lang w:val="af-ZA"/>
        </w:rPr>
        <w:t>BHXH</w:t>
      </w:r>
      <w:r w:rsidRPr="00C013F1">
        <w:rPr>
          <w:color w:val="000000"/>
          <w:lang w:val="af-ZA"/>
        </w:rPr>
        <w:t xml:space="preserve"> theo chế độ tiền lương do Nhà nước quy định</w:t>
      </w:r>
      <w:r>
        <w:rPr>
          <w:color w:val="000000"/>
          <w:lang w:val="af-ZA"/>
        </w:rPr>
        <w:t xml:space="preserve"> mà </w:t>
      </w:r>
      <w:r w:rsidRPr="00C013F1">
        <w:t xml:space="preserve">chuyển sang làm công việc khác </w:t>
      </w:r>
      <w:r>
        <w:t xml:space="preserve">vẫn </w:t>
      </w:r>
      <w:r w:rsidRPr="00C013F1">
        <w:t xml:space="preserve">thuộc đối tượng thực hiện chế độ tiền lương do Nhà nước quy định </w:t>
      </w:r>
      <w:r>
        <w:t>nhưng</w:t>
      </w:r>
      <w:r w:rsidRPr="00C013F1">
        <w:t xml:space="preserve"> có </w:t>
      </w:r>
      <w:r w:rsidRPr="000658EA">
        <w:rPr>
          <w:color w:val="000000"/>
          <w:lang w:val="af-ZA"/>
        </w:rPr>
        <w:t xml:space="preserve">tiền lương làm căn cứ đóng </w:t>
      </w:r>
      <w:r>
        <w:rPr>
          <w:color w:val="000000"/>
          <w:lang w:val="af-ZA"/>
        </w:rPr>
        <w:t>BHXH</w:t>
      </w:r>
      <w:r w:rsidRPr="00C013F1">
        <w:rPr>
          <w:color w:val="000000"/>
          <w:lang w:val="af-ZA"/>
        </w:rPr>
        <w:t xml:space="preserve"> </w:t>
      </w:r>
      <w:r>
        <w:rPr>
          <w:color w:val="000000"/>
          <w:lang w:val="af-ZA"/>
        </w:rPr>
        <w:t xml:space="preserve">thấp hơn; </w:t>
      </w:r>
      <w:r w:rsidRPr="00155672">
        <w:rPr>
          <w:color w:val="000000"/>
          <w:lang w:val="af-ZA"/>
        </w:rPr>
        <w:t xml:space="preserve">đối với người lao động có thời gian công tác ở cấp xã </w:t>
      </w:r>
      <w:r w:rsidR="005949EE">
        <w:rPr>
          <w:color w:val="000000"/>
          <w:lang w:val="af-ZA"/>
        </w:rPr>
        <w:t xml:space="preserve">và </w:t>
      </w:r>
      <w:r w:rsidRPr="00155672">
        <w:rPr>
          <w:color w:val="000000"/>
          <w:lang w:val="af-ZA"/>
        </w:rPr>
        <w:t xml:space="preserve">thời gian đóng </w:t>
      </w:r>
      <w:r w:rsidR="00C11E83">
        <w:rPr>
          <w:color w:val="000000"/>
          <w:lang w:val="af-ZA"/>
        </w:rPr>
        <w:t>BHXH</w:t>
      </w:r>
      <w:r w:rsidRPr="00155672">
        <w:rPr>
          <w:color w:val="000000"/>
          <w:lang w:val="af-ZA"/>
        </w:rPr>
        <w:t xml:space="preserve"> bắt buộc của người hoạt động không chuyên trách ở cấp xã, ở thôn, tổ dân phố</w:t>
      </w:r>
      <w:r w:rsidR="005949EE">
        <w:rPr>
          <w:color w:val="000000"/>
          <w:lang w:val="af-ZA"/>
        </w:rPr>
        <w:t>.</w:t>
      </w:r>
    </w:p>
    <w:p w:rsidR="008528BA" w:rsidRPr="007B007B" w:rsidRDefault="005949EE" w:rsidP="007B007B">
      <w:pPr>
        <w:widowControl w:val="0"/>
        <w:spacing w:before="120" w:line="288" w:lineRule="auto"/>
        <w:ind w:firstLine="720"/>
        <w:jc w:val="both"/>
        <w:rPr>
          <w:color w:val="000000"/>
          <w:spacing w:val="2"/>
          <w:lang w:val="af-ZA"/>
        </w:rPr>
      </w:pPr>
      <w:r w:rsidRPr="007B007B">
        <w:rPr>
          <w:color w:val="000000"/>
          <w:spacing w:val="2"/>
          <w:lang w:val="af-ZA"/>
        </w:rPr>
        <w:t xml:space="preserve">- Về điều chỉnh tiền lương làm căn cứ đóng BHXH bắt buộc: quy định theo hướng </w:t>
      </w:r>
      <w:r w:rsidR="00C11E83" w:rsidRPr="007B007B">
        <w:rPr>
          <w:color w:val="000000"/>
          <w:spacing w:val="2"/>
          <w:lang w:val="af-ZA"/>
        </w:rPr>
        <w:t>BHXH</w:t>
      </w:r>
      <w:r w:rsidRPr="007B007B">
        <w:rPr>
          <w:color w:val="000000"/>
          <w:spacing w:val="2"/>
          <w:lang w:val="af-ZA"/>
        </w:rPr>
        <w:t xml:space="preserve"> Việt Nam căn cứ quy định tại Nghị định (công thức) và chỉ số giá tiêu dùng bình quân năm do Tổng cục Thống kê thuộc Bộ Kế hoạch và Đầu tư công bố để thực hiện. Quy định này nhằm khắc phục bất cập hiện hành, tạo thuận lợi và kịp thời trong tổ chức thực hiện. Theo quy định hiện hành</w:t>
      </w:r>
      <w:r w:rsidR="00D87883" w:rsidRPr="007B007B">
        <w:rPr>
          <w:rStyle w:val="FootnoteReference"/>
          <w:color w:val="000000"/>
          <w:spacing w:val="2"/>
          <w:lang w:val="af-ZA"/>
        </w:rPr>
        <w:footnoteReference w:id="7"/>
      </w:r>
      <w:r w:rsidRPr="007B007B">
        <w:rPr>
          <w:color w:val="000000"/>
          <w:spacing w:val="2"/>
          <w:lang w:val="af-ZA"/>
        </w:rPr>
        <w:t xml:space="preserve">, hằng năm Bộ Lao động - Thương binh và Xã hội ban hành Thông tư quy định mức điều chỉnh tiền lương và thu nhập tháng đã đóng BHXH để </w:t>
      </w:r>
      <w:r w:rsidR="008528BA" w:rsidRPr="007B007B">
        <w:rPr>
          <w:color w:val="000000"/>
          <w:spacing w:val="2"/>
          <w:lang w:val="af-ZA"/>
        </w:rPr>
        <w:t>làm cơ sở giải quyết chế độ BHXH cho người lao động hưởng chế độ trong năm. Tuy nhiên, đến ngày 25/12 hằng năm thì Tổng cục Thống kê mới công bố chỉ số giá tieu dùng bình quân năm, do vậy, khi ban hành Thông tư này vừa không thể đảm bảo đúng quy trình của Luật Ban hành văn bản quy phạm pháp luật, đồng thời cũng không kịp thời trong giải quyết chế độ BHXH cho người lao động hưởng chế độ từ ngày 01/01 hằng năm.</w:t>
      </w:r>
    </w:p>
    <w:p w:rsidR="008528BA" w:rsidRDefault="008528BA" w:rsidP="007B007B">
      <w:pPr>
        <w:widowControl w:val="0"/>
        <w:spacing w:before="120" w:line="288" w:lineRule="auto"/>
        <w:ind w:firstLine="720"/>
        <w:jc w:val="both"/>
        <w:rPr>
          <w:color w:val="000000"/>
          <w:lang w:val="af-ZA"/>
        </w:rPr>
      </w:pPr>
      <w:r>
        <w:rPr>
          <w:color w:val="000000"/>
          <w:lang w:val="af-ZA"/>
        </w:rPr>
        <w:t>- Về t</w:t>
      </w:r>
      <w:r w:rsidRPr="008528BA">
        <w:rPr>
          <w:color w:val="000000"/>
          <w:lang w:val="af-ZA"/>
        </w:rPr>
        <w:t xml:space="preserve">ạm dừng, chấm dứt, tiếp tục hưởng lương hưu, trợ cấp </w:t>
      </w:r>
      <w:r w:rsidR="00C11E83">
        <w:rPr>
          <w:color w:val="000000"/>
          <w:lang w:val="af-ZA"/>
        </w:rPr>
        <w:t>BHXH</w:t>
      </w:r>
      <w:r w:rsidRPr="008528BA">
        <w:rPr>
          <w:color w:val="000000"/>
          <w:lang w:val="af-ZA"/>
        </w:rPr>
        <w:t xml:space="preserve"> hằng tháng</w:t>
      </w:r>
      <w:r>
        <w:rPr>
          <w:color w:val="000000"/>
          <w:lang w:val="af-ZA"/>
        </w:rPr>
        <w:t xml:space="preserve">: quy định bổ sung trường hợp chấm dứt hưởng trong trường hợp </w:t>
      </w:r>
      <w:r w:rsidRPr="008528BA">
        <w:rPr>
          <w:color w:val="000000"/>
          <w:lang w:val="af-ZA"/>
        </w:rPr>
        <w:t>mất quốc tịch Việt Nam</w:t>
      </w:r>
      <w:r>
        <w:rPr>
          <w:color w:val="000000"/>
          <w:lang w:val="af-ZA"/>
        </w:rPr>
        <w:t>.</w:t>
      </w:r>
    </w:p>
    <w:p w:rsidR="000E1922" w:rsidRDefault="000E1922" w:rsidP="007B007B">
      <w:pPr>
        <w:widowControl w:val="0"/>
        <w:spacing w:before="120" w:line="288" w:lineRule="auto"/>
        <w:ind w:firstLine="720"/>
        <w:jc w:val="both"/>
        <w:rPr>
          <w:color w:val="000000"/>
          <w:lang w:val="af-ZA"/>
        </w:rPr>
      </w:pPr>
      <w:r>
        <w:rPr>
          <w:i/>
        </w:rPr>
        <w:t>b</w:t>
      </w:r>
      <w:r w:rsidRPr="00C23D05">
        <w:rPr>
          <w:i/>
        </w:rPr>
        <w:t xml:space="preserve">) Về chế độ </w:t>
      </w:r>
      <w:r>
        <w:rPr>
          <w:i/>
        </w:rPr>
        <w:t>tử tuất</w:t>
      </w:r>
      <w:r w:rsidRPr="00C23D05">
        <w:rPr>
          <w:i/>
        </w:rPr>
        <w:t xml:space="preserve"> (mục </w:t>
      </w:r>
      <w:r>
        <w:rPr>
          <w:i/>
        </w:rPr>
        <w:t>2</w:t>
      </w:r>
      <w:r w:rsidRPr="00C23D05">
        <w:rPr>
          <w:i/>
        </w:rPr>
        <w:t xml:space="preserve">): </w:t>
      </w:r>
      <w:r w:rsidRPr="007B007B">
        <w:t>Nội dung mục này tập trung quy định</w:t>
      </w:r>
      <w:r>
        <w:t xml:space="preserve"> về </w:t>
      </w:r>
      <w:r w:rsidRPr="000E1922">
        <w:rPr>
          <w:color w:val="000000"/>
          <w:lang w:val="af-ZA"/>
        </w:rPr>
        <w:t>Chế độ tử tuất đối với trường hợp người đang hưởng trợ cấp tai nạn lao động, bệnh nghề nghiệp hằng tháng chết</w:t>
      </w:r>
      <w:r>
        <w:rPr>
          <w:color w:val="000000"/>
          <w:lang w:val="af-ZA"/>
        </w:rPr>
        <w:t xml:space="preserve">; </w:t>
      </w:r>
      <w:r w:rsidRPr="000E1922">
        <w:rPr>
          <w:color w:val="000000"/>
          <w:lang w:val="af-ZA"/>
        </w:rPr>
        <w:t xml:space="preserve">Chế độ tử tuất đối với người vừa có thời gian đóng </w:t>
      </w:r>
      <w:r>
        <w:rPr>
          <w:color w:val="000000"/>
          <w:lang w:val="af-ZA"/>
        </w:rPr>
        <w:t>BHXH</w:t>
      </w:r>
      <w:r w:rsidRPr="000E1922">
        <w:rPr>
          <w:color w:val="000000"/>
          <w:lang w:val="af-ZA"/>
        </w:rPr>
        <w:t xml:space="preserve"> tự nguyện vừa có thời gian đóng </w:t>
      </w:r>
      <w:r>
        <w:rPr>
          <w:color w:val="000000"/>
          <w:lang w:val="af-ZA"/>
        </w:rPr>
        <w:t>BHXH</w:t>
      </w:r>
      <w:r w:rsidRPr="000E1922">
        <w:rPr>
          <w:color w:val="000000"/>
          <w:lang w:val="af-ZA"/>
        </w:rPr>
        <w:t xml:space="preserve"> bắt buộc</w:t>
      </w:r>
      <w:r>
        <w:rPr>
          <w:color w:val="000000"/>
          <w:lang w:val="af-ZA"/>
        </w:rPr>
        <w:t>.</w:t>
      </w:r>
    </w:p>
    <w:p w:rsidR="00891B4E" w:rsidRPr="007B007B" w:rsidRDefault="00891B4E" w:rsidP="007B007B">
      <w:pPr>
        <w:widowControl w:val="0"/>
        <w:spacing w:before="120" w:line="288" w:lineRule="auto"/>
        <w:ind w:firstLine="720"/>
        <w:jc w:val="both"/>
        <w:rPr>
          <w:i/>
          <w:color w:val="000000"/>
          <w:lang w:val="af-ZA"/>
        </w:rPr>
      </w:pPr>
      <w:r w:rsidRPr="007B007B">
        <w:rPr>
          <w:i/>
          <w:color w:val="000000"/>
          <w:lang w:val="af-ZA"/>
        </w:rPr>
        <w:t xml:space="preserve">2.4. Chương IV. </w:t>
      </w:r>
      <w:r w:rsidRPr="007B007B">
        <w:rPr>
          <w:bCs/>
          <w:i/>
          <w:color w:val="000000"/>
          <w:lang w:val="vi-VN"/>
        </w:rPr>
        <w:t>Chế độ đối với người lao động không đủ điều kiện hưởng lương hưu và chưa đủ tuổi hưởng trợ cấp hưu trí xã hội</w:t>
      </w:r>
      <w:r w:rsidRPr="007B007B">
        <w:rPr>
          <w:i/>
          <w:color w:val="000000"/>
          <w:lang w:val="af-ZA"/>
        </w:rPr>
        <w:t xml:space="preserve"> </w:t>
      </w:r>
    </w:p>
    <w:p w:rsidR="00891B4E" w:rsidRDefault="00891B4E" w:rsidP="007B007B">
      <w:pPr>
        <w:widowControl w:val="0"/>
        <w:spacing w:before="120" w:line="288" w:lineRule="auto"/>
        <w:ind w:firstLine="720"/>
        <w:jc w:val="both"/>
        <w:rPr>
          <w:bCs/>
          <w:color w:val="000000"/>
        </w:rPr>
      </w:pPr>
      <w:r>
        <w:rPr>
          <w:bCs/>
          <w:color w:val="000000"/>
        </w:rPr>
        <w:t>Chương này gồm 3 điều, từ Điều 22 đến Điều 24: quy định chi tiết, cụ thể về cách thức tính thời gian trợ cấp hằng tháng; mức trợ cấp hằng tháng và c</w:t>
      </w:r>
      <w:r w:rsidRPr="00891B4E">
        <w:rPr>
          <w:bCs/>
          <w:color w:val="000000"/>
        </w:rPr>
        <w:t>hế độ đối với thân nhân người đang hưởng trợ cấp hằng tháng chết trước khi hết thời hạn hưởng trợ cấp</w:t>
      </w:r>
      <w:r w:rsidR="004441F7">
        <w:rPr>
          <w:bCs/>
          <w:color w:val="000000"/>
        </w:rPr>
        <w:t xml:space="preserve">. Một số một dung chính của chương này như: </w:t>
      </w:r>
    </w:p>
    <w:p w:rsidR="00B439E5" w:rsidRDefault="00B439E5" w:rsidP="007B007B">
      <w:pPr>
        <w:widowControl w:val="0"/>
        <w:spacing w:before="120" w:line="288" w:lineRule="auto"/>
        <w:ind w:firstLine="720"/>
        <w:jc w:val="both"/>
      </w:pPr>
      <w:r>
        <w:rPr>
          <w:bCs/>
          <w:color w:val="000000"/>
        </w:rPr>
        <w:t xml:space="preserve">- Về </w:t>
      </w:r>
      <w:r>
        <w:t>t</w:t>
      </w:r>
      <w:r w:rsidRPr="007B7BFE">
        <w:rPr>
          <w:lang w:val="vi-VN"/>
        </w:rPr>
        <w:t>hời gian hưởng trợ cấp hằng tháng</w:t>
      </w:r>
      <w:r>
        <w:t>:</w:t>
      </w:r>
      <w:r w:rsidRPr="007B7BFE">
        <w:rPr>
          <w:lang w:val="vi-VN"/>
        </w:rPr>
        <w:t xml:space="preserve"> </w:t>
      </w:r>
      <w:r>
        <w:t xml:space="preserve">quy định cụ thể công thức xác định thời gian hưởng trợ cấp hằng tháng trên cơ sở </w:t>
      </w:r>
      <w:r w:rsidRPr="007B7BFE">
        <w:rPr>
          <w:lang w:val="vi-VN"/>
        </w:rPr>
        <w:t xml:space="preserve">thời gian đóng, </w:t>
      </w:r>
      <w:r>
        <w:t xml:space="preserve">tiền lương làm </w:t>
      </w:r>
      <w:r>
        <w:lastRenderedPageBreak/>
        <w:t>căn cứ</w:t>
      </w:r>
      <w:r w:rsidRPr="007B7BFE">
        <w:rPr>
          <w:lang w:val="vi-VN"/>
        </w:rPr>
        <w:t xml:space="preserve"> đóng </w:t>
      </w:r>
      <w:r>
        <w:t>BHXH</w:t>
      </w:r>
      <w:r>
        <w:rPr>
          <w:lang w:val="vi-VN"/>
        </w:rPr>
        <w:t xml:space="preserve"> của người lao động</w:t>
      </w:r>
      <w:r w:rsidR="001C62B5">
        <w:t xml:space="preserve">; </w:t>
      </w:r>
      <w:r>
        <w:t xml:space="preserve">quy định </w:t>
      </w:r>
      <w:r w:rsidR="001C62B5">
        <w:t xml:space="preserve">cụ thể việc người lao động được </w:t>
      </w:r>
      <w:r w:rsidR="001C62B5" w:rsidRPr="007B7BFE">
        <w:rPr>
          <w:lang w:val="vi-VN"/>
        </w:rPr>
        <w:t xml:space="preserve">đóng một lần cho phần còn thiếu để </w:t>
      </w:r>
      <w:r w:rsidR="001C62B5">
        <w:t xml:space="preserve">được </w:t>
      </w:r>
      <w:r w:rsidR="001C62B5" w:rsidRPr="007B7BFE">
        <w:rPr>
          <w:lang w:val="vi-VN"/>
        </w:rPr>
        <w:t>hưởng cho đến khi đủ tuổi hưởng trợ cấp hưu trí xã hội</w:t>
      </w:r>
      <w:r w:rsidR="001C62B5">
        <w:t xml:space="preserve"> đối với t</w:t>
      </w:r>
      <w:r w:rsidRPr="00FD2EE6">
        <w:rPr>
          <w:bCs/>
          <w:color w:val="000000"/>
        </w:rPr>
        <w:t>rường hợp thời gian hưởng trợ cấp h</w:t>
      </w:r>
      <w:r>
        <w:rPr>
          <w:bCs/>
          <w:color w:val="000000"/>
        </w:rPr>
        <w:t>ằ</w:t>
      </w:r>
      <w:r w:rsidRPr="00FD2EE6">
        <w:rPr>
          <w:bCs/>
          <w:color w:val="000000"/>
        </w:rPr>
        <w:t xml:space="preserve">ng tháng </w:t>
      </w:r>
      <w:r w:rsidR="001C62B5">
        <w:rPr>
          <w:bCs/>
          <w:color w:val="000000"/>
        </w:rPr>
        <w:t xml:space="preserve">theo tính toán </w:t>
      </w:r>
      <w:r>
        <w:rPr>
          <w:bCs/>
          <w:color w:val="000000"/>
        </w:rPr>
        <w:t xml:space="preserve">không đủ </w:t>
      </w:r>
      <w:r w:rsidRPr="007B7BFE">
        <w:rPr>
          <w:lang w:val="vi-VN"/>
        </w:rPr>
        <w:t>để người lao động hưởng trợ cấp hằng tháng cho đến khi đủ tuổi hưởng trợ cấp hưu trí xã hội</w:t>
      </w:r>
      <w:r w:rsidR="001C62B5">
        <w:t>.</w:t>
      </w:r>
    </w:p>
    <w:p w:rsidR="001C62B5" w:rsidRPr="007B007B" w:rsidRDefault="001C62B5" w:rsidP="007B007B">
      <w:pPr>
        <w:widowControl w:val="0"/>
        <w:spacing w:before="120" w:line="288" w:lineRule="auto"/>
        <w:ind w:firstLine="720"/>
        <w:jc w:val="both"/>
        <w:rPr>
          <w:bCs/>
          <w:color w:val="000000"/>
          <w:spacing w:val="-2"/>
        </w:rPr>
      </w:pPr>
      <w:r w:rsidRPr="007B007B">
        <w:rPr>
          <w:bCs/>
          <w:color w:val="000000"/>
          <w:spacing w:val="-2"/>
        </w:rPr>
        <w:t>- Về mức trợ cấp hằng tháng: quy định mức trợ cấp hằng tháng tại thời điểm giải quyết được tính bằng mức trợ cấp hưu trí xã hội hằng tháng</w:t>
      </w:r>
      <w:r w:rsidR="00380CE4" w:rsidRPr="007B007B">
        <w:rPr>
          <w:bCs/>
          <w:color w:val="000000"/>
          <w:spacing w:val="-2"/>
        </w:rPr>
        <w:t>; quy định cụ thể về mức trợ cấp hằng tháng cao hơn trong t</w:t>
      </w:r>
      <w:r w:rsidRPr="007B007B">
        <w:rPr>
          <w:bCs/>
          <w:color w:val="000000"/>
          <w:spacing w:val="-2"/>
        </w:rPr>
        <w:t xml:space="preserve">rường hợp </w:t>
      </w:r>
      <w:r w:rsidR="00380CE4" w:rsidRPr="007B007B">
        <w:rPr>
          <w:bCs/>
          <w:color w:val="000000"/>
          <w:spacing w:val="-2"/>
        </w:rPr>
        <w:t xml:space="preserve">khi tính toán </w:t>
      </w:r>
      <w:r w:rsidRPr="007B007B">
        <w:rPr>
          <w:bCs/>
          <w:color w:val="000000"/>
          <w:spacing w:val="-2"/>
        </w:rPr>
        <w:t>thời gian hưởng trợ cấp hằng tháng vượt quá thời gian đến khi đủ tuổi hưởng trợ cấp hưu trí xã hội</w:t>
      </w:r>
      <w:r w:rsidR="00380CE4" w:rsidRPr="007B007B">
        <w:rPr>
          <w:bCs/>
          <w:color w:val="000000"/>
          <w:spacing w:val="-2"/>
        </w:rPr>
        <w:t>.</w:t>
      </w:r>
    </w:p>
    <w:p w:rsidR="00380CE4" w:rsidRDefault="00380CE4" w:rsidP="007B007B">
      <w:pPr>
        <w:widowControl w:val="0"/>
        <w:spacing w:before="120" w:line="288" w:lineRule="auto"/>
        <w:ind w:firstLine="720"/>
        <w:jc w:val="both"/>
        <w:rPr>
          <w:bCs/>
          <w:color w:val="000000"/>
        </w:rPr>
      </w:pPr>
      <w:r>
        <w:rPr>
          <w:bCs/>
          <w:color w:val="000000"/>
        </w:rPr>
        <w:t>- Về c</w:t>
      </w:r>
      <w:r w:rsidRPr="00380CE4">
        <w:rPr>
          <w:bCs/>
          <w:color w:val="000000"/>
        </w:rPr>
        <w:t>hế độ đối với thân nhân người đang hưởng trợ cấp hằng tháng chết trước khi hết thời hạn hưởng trợ cấp</w:t>
      </w:r>
      <w:r>
        <w:rPr>
          <w:bCs/>
          <w:color w:val="000000"/>
        </w:rPr>
        <w:t xml:space="preserve">: quy định cụ thể về trợ cấp một lần đối với thân nhân của người lao động trong trường hợp </w:t>
      </w:r>
      <w:r w:rsidRPr="00380CE4">
        <w:rPr>
          <w:bCs/>
          <w:color w:val="000000"/>
        </w:rPr>
        <w:t>người đang hưởng trợ cấp hằng tháng chết trước khi hết thời hạn hưởng trợ cấp</w:t>
      </w:r>
      <w:r>
        <w:rPr>
          <w:bCs/>
          <w:color w:val="000000"/>
        </w:rPr>
        <w:t>; các trường hợp thân nhân được hưởng trợ cấp mai táng phí và h</w:t>
      </w:r>
      <w:r w:rsidRPr="00380CE4">
        <w:rPr>
          <w:bCs/>
          <w:color w:val="000000"/>
        </w:rPr>
        <w:t>ồ sơ</w:t>
      </w:r>
      <w:r>
        <w:rPr>
          <w:bCs/>
          <w:color w:val="000000"/>
        </w:rPr>
        <w:t>, trình tự giải quyết</w:t>
      </w:r>
      <w:r w:rsidRPr="00380CE4">
        <w:rPr>
          <w:bCs/>
          <w:color w:val="000000"/>
        </w:rPr>
        <w:t xml:space="preserve"> hưởng trợ cấp một lần và trợ cấp mai táng</w:t>
      </w:r>
      <w:r>
        <w:rPr>
          <w:bCs/>
          <w:color w:val="000000"/>
        </w:rPr>
        <w:t>.</w:t>
      </w:r>
    </w:p>
    <w:p w:rsidR="004441F7" w:rsidRDefault="004441F7" w:rsidP="007B007B">
      <w:pPr>
        <w:widowControl w:val="0"/>
        <w:spacing w:before="120" w:line="288" w:lineRule="auto"/>
        <w:ind w:firstLine="720"/>
        <w:jc w:val="both"/>
        <w:rPr>
          <w:bCs/>
          <w:i/>
          <w:color w:val="000000"/>
        </w:rPr>
      </w:pPr>
      <w:r w:rsidRPr="002B2108">
        <w:rPr>
          <w:i/>
          <w:color w:val="000000"/>
          <w:lang w:val="af-ZA"/>
        </w:rPr>
        <w:t>2.</w:t>
      </w:r>
      <w:r>
        <w:rPr>
          <w:i/>
          <w:color w:val="000000"/>
          <w:lang w:val="af-ZA"/>
        </w:rPr>
        <w:t>5</w:t>
      </w:r>
      <w:r w:rsidRPr="002B2108">
        <w:rPr>
          <w:i/>
          <w:color w:val="000000"/>
          <w:lang w:val="af-ZA"/>
        </w:rPr>
        <w:t xml:space="preserve">. Chương V. </w:t>
      </w:r>
      <w:r w:rsidRPr="002B2108">
        <w:rPr>
          <w:bCs/>
          <w:i/>
          <w:color w:val="000000"/>
          <w:lang w:val="vi-VN"/>
        </w:rPr>
        <w:t xml:space="preserve">Chế độ </w:t>
      </w:r>
      <w:r>
        <w:rPr>
          <w:bCs/>
          <w:i/>
          <w:color w:val="000000"/>
        </w:rPr>
        <w:t xml:space="preserve">hưu trí, tử tuất đối với </w:t>
      </w:r>
      <w:r w:rsidRPr="002B2108">
        <w:rPr>
          <w:bCs/>
          <w:i/>
          <w:color w:val="000000"/>
          <w:lang w:val="vi-VN"/>
        </w:rPr>
        <w:t xml:space="preserve">người lao động </w:t>
      </w:r>
      <w:r>
        <w:rPr>
          <w:bCs/>
          <w:i/>
          <w:color w:val="000000"/>
        </w:rPr>
        <w:t>trong trường hợp người sử dụng lao động không còn khả năng đóng</w:t>
      </w:r>
    </w:p>
    <w:p w:rsidR="004441F7" w:rsidRPr="007B007B" w:rsidRDefault="004441F7" w:rsidP="007B007B">
      <w:pPr>
        <w:widowControl w:val="0"/>
        <w:spacing w:before="120" w:line="288" w:lineRule="auto"/>
        <w:ind w:firstLine="720"/>
        <w:jc w:val="both"/>
        <w:rPr>
          <w:bCs/>
          <w:color w:val="000000"/>
          <w:spacing w:val="-2"/>
        </w:rPr>
      </w:pPr>
      <w:r w:rsidRPr="007B007B">
        <w:rPr>
          <w:bCs/>
          <w:color w:val="000000"/>
          <w:spacing w:val="-2"/>
        </w:rPr>
        <w:t>Chương này gồm 06 điều, từ Điều 25 đến Điều 30: quy định việc giải quyết chế độ hưu trí, tử tuất đối với người lao động trong trường hợp người sử dụng lao động không còn khả năng đóng theo điểm 13 của của Nghị quyết số 142/2024/QH15 ngày 29 tháng 6 năm 2024 của Quốc hội về Nghị quyết kỳ họp thứ 7, Quốc hội Khóa XV. Một số nội dung tập trung quy định tại chương này gồm:</w:t>
      </w:r>
    </w:p>
    <w:p w:rsidR="004E1166" w:rsidRDefault="004E1166" w:rsidP="007B007B">
      <w:pPr>
        <w:widowControl w:val="0"/>
        <w:spacing w:before="120" w:line="288" w:lineRule="auto"/>
        <w:ind w:firstLine="720"/>
        <w:jc w:val="both"/>
        <w:rPr>
          <w:color w:val="000000"/>
        </w:rPr>
      </w:pPr>
      <w:r>
        <w:rPr>
          <w:color w:val="000000"/>
        </w:rPr>
        <w:t>- Quy định cụ thể các trường hợp n</w:t>
      </w:r>
      <w:r w:rsidRPr="00105DBF">
        <w:rPr>
          <w:color w:val="000000"/>
        </w:rPr>
        <w:t xml:space="preserve">gười sử dụng lao động không còn khả năng đóng </w:t>
      </w:r>
      <w:r w:rsidR="00C11E83">
        <w:rPr>
          <w:color w:val="000000"/>
        </w:rPr>
        <w:t>BHXH</w:t>
      </w:r>
      <w:r>
        <w:rPr>
          <w:color w:val="000000"/>
        </w:rPr>
        <w:t xml:space="preserve"> cho người lao động.</w:t>
      </w:r>
    </w:p>
    <w:p w:rsidR="004E1166" w:rsidRDefault="004E1166" w:rsidP="007B007B">
      <w:pPr>
        <w:widowControl w:val="0"/>
        <w:spacing w:before="120" w:line="288" w:lineRule="auto"/>
        <w:ind w:firstLine="720"/>
        <w:jc w:val="both"/>
        <w:rPr>
          <w:bCs/>
          <w:color w:val="000000"/>
        </w:rPr>
      </w:pPr>
      <w:r>
        <w:rPr>
          <w:bCs/>
          <w:color w:val="000000"/>
        </w:rPr>
        <w:t>- Quy định cụ thể về x</w:t>
      </w:r>
      <w:r w:rsidRPr="004E1166">
        <w:rPr>
          <w:bCs/>
          <w:color w:val="000000"/>
        </w:rPr>
        <w:t xml:space="preserve">ác nhận thời gian đóng </w:t>
      </w:r>
      <w:r w:rsidR="00C11E83">
        <w:rPr>
          <w:bCs/>
          <w:color w:val="000000"/>
        </w:rPr>
        <w:t>BHXH</w:t>
      </w:r>
      <w:r w:rsidRPr="004E1166">
        <w:rPr>
          <w:bCs/>
          <w:color w:val="000000"/>
        </w:rPr>
        <w:t xml:space="preserve"> của người lao động để giải quyết chế độ hưu trí, tử tuất</w:t>
      </w:r>
      <w:r>
        <w:rPr>
          <w:bCs/>
          <w:color w:val="000000"/>
        </w:rPr>
        <w:t>.</w:t>
      </w:r>
    </w:p>
    <w:p w:rsidR="004E1166" w:rsidRPr="007B007B" w:rsidRDefault="004E1166" w:rsidP="007B007B">
      <w:pPr>
        <w:widowControl w:val="0"/>
        <w:spacing w:before="120" w:line="288" w:lineRule="auto"/>
        <w:ind w:firstLine="720"/>
        <w:jc w:val="both"/>
        <w:rPr>
          <w:bCs/>
          <w:color w:val="000000"/>
          <w:spacing w:val="-4"/>
        </w:rPr>
      </w:pPr>
      <w:r w:rsidRPr="007B007B">
        <w:rPr>
          <w:bCs/>
          <w:color w:val="000000"/>
          <w:spacing w:val="-4"/>
        </w:rPr>
        <w:t xml:space="preserve">- Quy định căn cứ xác định người sử dụng lao động không còn khả năng đóng </w:t>
      </w:r>
      <w:r w:rsidR="001A0081" w:rsidRPr="007B007B">
        <w:rPr>
          <w:bCs/>
          <w:color w:val="000000"/>
          <w:spacing w:val="-4"/>
        </w:rPr>
        <w:t>BHXH</w:t>
      </w:r>
      <w:r w:rsidRPr="007B007B">
        <w:rPr>
          <w:bCs/>
          <w:color w:val="000000"/>
          <w:spacing w:val="-4"/>
        </w:rPr>
        <w:t xml:space="preserve"> cho người lao động; căn cứ xác định thời gian người lao động làm việc tại đơn vị sử dụng lao động trong thời gian chậm đóng, trốn đóng </w:t>
      </w:r>
      <w:r w:rsidR="001A0081" w:rsidRPr="007B007B">
        <w:rPr>
          <w:bCs/>
          <w:color w:val="000000"/>
          <w:spacing w:val="-4"/>
        </w:rPr>
        <w:t>BHXH</w:t>
      </w:r>
      <w:r w:rsidRPr="007B007B">
        <w:rPr>
          <w:bCs/>
          <w:color w:val="000000"/>
          <w:spacing w:val="-4"/>
        </w:rPr>
        <w:t xml:space="preserve"> bắt buộc.</w:t>
      </w:r>
    </w:p>
    <w:p w:rsidR="004E1166" w:rsidRPr="004E1166" w:rsidRDefault="004E1166" w:rsidP="007B007B">
      <w:pPr>
        <w:widowControl w:val="0"/>
        <w:spacing w:before="120" w:line="288" w:lineRule="auto"/>
        <w:ind w:firstLine="720"/>
        <w:jc w:val="both"/>
        <w:rPr>
          <w:bCs/>
          <w:color w:val="000000"/>
        </w:rPr>
      </w:pPr>
      <w:r>
        <w:rPr>
          <w:bCs/>
          <w:color w:val="000000"/>
        </w:rPr>
        <w:t>- Quy định t</w:t>
      </w:r>
      <w:r w:rsidRPr="004E1166">
        <w:rPr>
          <w:bCs/>
          <w:color w:val="000000"/>
        </w:rPr>
        <w:t xml:space="preserve">rình tự, thủ tục xác nhận thời gian đóng </w:t>
      </w:r>
      <w:r>
        <w:rPr>
          <w:bCs/>
          <w:color w:val="000000"/>
        </w:rPr>
        <w:t>và giải quyết chế độ hưu trí, tử tuất đối với người lao động.</w:t>
      </w:r>
    </w:p>
    <w:p w:rsidR="004441F7" w:rsidRDefault="004E1166" w:rsidP="007B007B">
      <w:pPr>
        <w:widowControl w:val="0"/>
        <w:spacing w:before="120" w:line="288" w:lineRule="auto"/>
        <w:ind w:firstLine="720"/>
        <w:jc w:val="both"/>
        <w:rPr>
          <w:bCs/>
          <w:i/>
          <w:color w:val="000000"/>
        </w:rPr>
      </w:pPr>
      <w:r w:rsidRPr="002B2108">
        <w:rPr>
          <w:i/>
          <w:color w:val="000000"/>
          <w:lang w:val="af-ZA"/>
        </w:rPr>
        <w:t>2.</w:t>
      </w:r>
      <w:r>
        <w:rPr>
          <w:i/>
          <w:color w:val="000000"/>
          <w:lang w:val="af-ZA"/>
        </w:rPr>
        <w:t>6</w:t>
      </w:r>
      <w:r w:rsidRPr="002B2108">
        <w:rPr>
          <w:i/>
          <w:color w:val="000000"/>
          <w:lang w:val="af-ZA"/>
        </w:rPr>
        <w:t>. Chương V</w:t>
      </w:r>
      <w:r>
        <w:rPr>
          <w:i/>
          <w:color w:val="000000"/>
          <w:lang w:val="af-ZA"/>
        </w:rPr>
        <w:t>I</w:t>
      </w:r>
      <w:r w:rsidRPr="002B2108">
        <w:rPr>
          <w:i/>
          <w:color w:val="000000"/>
          <w:lang w:val="af-ZA"/>
        </w:rPr>
        <w:t xml:space="preserve">. </w:t>
      </w:r>
      <w:r>
        <w:rPr>
          <w:bCs/>
          <w:i/>
          <w:color w:val="000000"/>
        </w:rPr>
        <w:t>Quy định chuyển tiếp</w:t>
      </w:r>
    </w:p>
    <w:p w:rsidR="003B2275" w:rsidRDefault="004E1166" w:rsidP="007B007B">
      <w:pPr>
        <w:widowControl w:val="0"/>
        <w:spacing w:before="120" w:line="288" w:lineRule="auto"/>
        <w:ind w:firstLine="720"/>
        <w:jc w:val="both"/>
        <w:rPr>
          <w:bCs/>
          <w:color w:val="000000"/>
        </w:rPr>
      </w:pPr>
      <w:r>
        <w:rPr>
          <w:bCs/>
          <w:color w:val="000000"/>
        </w:rPr>
        <w:t xml:space="preserve">Chương này gồm 11 điều, từ Điều 31 đến Điều 41: </w:t>
      </w:r>
      <w:r w:rsidR="003B2275">
        <w:rPr>
          <w:bCs/>
          <w:color w:val="000000"/>
        </w:rPr>
        <w:t xml:space="preserve">tập trung quy định một số nội dung như: </w:t>
      </w:r>
    </w:p>
    <w:p w:rsidR="003B2275" w:rsidRDefault="003B2275" w:rsidP="007B007B">
      <w:pPr>
        <w:widowControl w:val="0"/>
        <w:spacing w:before="120" w:line="300" w:lineRule="auto"/>
        <w:ind w:firstLine="720"/>
        <w:jc w:val="both"/>
        <w:rPr>
          <w:bCs/>
          <w:color w:val="000000"/>
        </w:rPr>
      </w:pPr>
      <w:r>
        <w:rPr>
          <w:bCs/>
          <w:color w:val="000000"/>
        </w:rPr>
        <w:lastRenderedPageBreak/>
        <w:t>- P</w:t>
      </w:r>
      <w:r w:rsidRPr="003B2275">
        <w:rPr>
          <w:bCs/>
          <w:color w:val="000000"/>
        </w:rPr>
        <w:t xml:space="preserve">hụ cấp khu vực đối với người hưởng </w:t>
      </w:r>
      <w:r w:rsidR="001A0081">
        <w:rPr>
          <w:bCs/>
          <w:color w:val="000000"/>
        </w:rPr>
        <w:t>BHXH</w:t>
      </w:r>
      <w:r>
        <w:rPr>
          <w:bCs/>
          <w:color w:val="000000"/>
        </w:rPr>
        <w:t xml:space="preserve">; </w:t>
      </w:r>
    </w:p>
    <w:p w:rsidR="003B2275" w:rsidRDefault="003B2275" w:rsidP="007B007B">
      <w:pPr>
        <w:widowControl w:val="0"/>
        <w:spacing w:before="120" w:line="312" w:lineRule="auto"/>
        <w:ind w:firstLine="720"/>
        <w:jc w:val="both"/>
      </w:pPr>
      <w:r>
        <w:rPr>
          <w:bCs/>
          <w:color w:val="000000"/>
        </w:rPr>
        <w:t xml:space="preserve">- </w:t>
      </w:r>
      <w:r w:rsidRPr="007B007B">
        <w:t xml:space="preserve">Chế độ tử tuất đối với thân nhân người </w:t>
      </w:r>
      <w:r w:rsidRPr="007B007B">
        <w:rPr>
          <w:lang w:val="vi-VN"/>
        </w:rPr>
        <w:t xml:space="preserve">đang hưởng </w:t>
      </w:r>
      <w:r w:rsidRPr="007B007B">
        <w:t xml:space="preserve">trợ cấp </w:t>
      </w:r>
      <w:r w:rsidRPr="007B007B">
        <w:rPr>
          <w:lang w:val="vi-VN"/>
        </w:rPr>
        <w:t>mất sức lao động, đang hưởng trợ cấp hằng tháng sau khi đã hết thời hạn hưởng trợ cấp mất sức lao động, đang hưởng trợ cấp hằng tháng đối với công nhân cao su, đang hưởng trợ cấp hằng tháng đối với cán bộ xã, phường, thị trấn đã nghỉ việc</w:t>
      </w:r>
      <w:r w:rsidRPr="007B007B">
        <w:t xml:space="preserve"> chết; </w:t>
      </w:r>
    </w:p>
    <w:p w:rsidR="003B2275" w:rsidRDefault="003B2275" w:rsidP="007B007B">
      <w:pPr>
        <w:widowControl w:val="0"/>
        <w:spacing w:before="120" w:line="312" w:lineRule="auto"/>
        <w:ind w:firstLine="720"/>
        <w:jc w:val="both"/>
        <w:rPr>
          <w:bCs/>
          <w:color w:val="000000"/>
        </w:rPr>
      </w:pPr>
      <w:r>
        <w:t xml:space="preserve">- </w:t>
      </w:r>
      <w:r w:rsidRPr="003B2275">
        <w:rPr>
          <w:bCs/>
          <w:color w:val="000000"/>
        </w:rPr>
        <w:t>Tính thời gian công tác trước ngày 01</w:t>
      </w:r>
      <w:r w:rsidR="001A0081">
        <w:rPr>
          <w:bCs/>
          <w:color w:val="000000"/>
        </w:rPr>
        <w:t>/</w:t>
      </w:r>
      <w:r w:rsidRPr="003B2275">
        <w:rPr>
          <w:bCs/>
          <w:color w:val="000000"/>
        </w:rPr>
        <w:t>01</w:t>
      </w:r>
      <w:r w:rsidR="001A0081">
        <w:rPr>
          <w:bCs/>
          <w:color w:val="000000"/>
        </w:rPr>
        <w:t>/</w:t>
      </w:r>
      <w:r w:rsidRPr="003B2275">
        <w:rPr>
          <w:bCs/>
          <w:color w:val="000000"/>
        </w:rPr>
        <w:t xml:space="preserve">1995 để hưởng </w:t>
      </w:r>
      <w:r w:rsidR="001A0081">
        <w:rPr>
          <w:bCs/>
          <w:color w:val="000000"/>
        </w:rPr>
        <w:t>BHXH</w:t>
      </w:r>
      <w:r w:rsidRPr="003B2275">
        <w:rPr>
          <w:bCs/>
          <w:color w:val="000000"/>
        </w:rPr>
        <w:t xml:space="preserve">; </w:t>
      </w:r>
    </w:p>
    <w:p w:rsidR="003B2275" w:rsidRDefault="003B2275" w:rsidP="007B007B">
      <w:pPr>
        <w:widowControl w:val="0"/>
        <w:spacing w:before="120" w:line="312" w:lineRule="auto"/>
        <w:ind w:firstLine="720"/>
        <w:jc w:val="both"/>
      </w:pPr>
      <w:r>
        <w:rPr>
          <w:bCs/>
          <w:color w:val="000000"/>
        </w:rPr>
        <w:t xml:space="preserve">- </w:t>
      </w:r>
      <w:r w:rsidRPr="007B007B">
        <w:rPr>
          <w:lang w:val="vi-VN"/>
        </w:rPr>
        <w:t>Tính thời gian công tác đối với người lao động đi hợp tác lao động trước ngày 01</w:t>
      </w:r>
      <w:r w:rsidR="001A0081">
        <w:t>/</w:t>
      </w:r>
      <w:r w:rsidRPr="007B007B">
        <w:rPr>
          <w:lang w:val="vi-VN"/>
        </w:rPr>
        <w:t>01</w:t>
      </w:r>
      <w:r w:rsidR="001A0081">
        <w:t>/</w:t>
      </w:r>
      <w:r w:rsidRPr="007B007B">
        <w:rPr>
          <w:lang w:val="vi-VN"/>
        </w:rPr>
        <w:t>1995</w:t>
      </w:r>
      <w:r w:rsidRPr="007B007B">
        <w:t xml:space="preserve">; </w:t>
      </w:r>
    </w:p>
    <w:p w:rsidR="003B2275" w:rsidRDefault="003B2275" w:rsidP="007B007B">
      <w:pPr>
        <w:widowControl w:val="0"/>
        <w:spacing w:before="120" w:line="312" w:lineRule="auto"/>
        <w:ind w:firstLine="720"/>
        <w:jc w:val="both"/>
      </w:pPr>
      <w:r>
        <w:t xml:space="preserve">- </w:t>
      </w:r>
      <w:r w:rsidRPr="007B007B">
        <w:t xml:space="preserve">Tính thời gian công tác để hưởng </w:t>
      </w:r>
      <w:r w:rsidR="001A0081">
        <w:t>BHXH</w:t>
      </w:r>
      <w:r w:rsidRPr="007B007B">
        <w:t xml:space="preserve"> đối với người lao động làm việc thuộc khu vực nhà nước, nghỉ chờ việc từ ngày 01</w:t>
      </w:r>
      <w:r w:rsidR="001A0081">
        <w:t>/</w:t>
      </w:r>
      <w:r w:rsidRPr="007B007B">
        <w:t>11</w:t>
      </w:r>
      <w:r w:rsidR="001A0081">
        <w:t>/</w:t>
      </w:r>
      <w:r w:rsidRPr="007B007B">
        <w:t>1987 đến trước ngày 01</w:t>
      </w:r>
      <w:r w:rsidR="001A0081">
        <w:t>/</w:t>
      </w:r>
      <w:r w:rsidRPr="007B007B">
        <w:t>01</w:t>
      </w:r>
      <w:r w:rsidR="001A0081">
        <w:t>/</w:t>
      </w:r>
      <w:r w:rsidRPr="007B007B">
        <w:t xml:space="preserve">1995; </w:t>
      </w:r>
    </w:p>
    <w:p w:rsidR="003B2275" w:rsidRDefault="003B2275" w:rsidP="007B007B">
      <w:pPr>
        <w:widowControl w:val="0"/>
        <w:spacing w:before="120" w:line="312" w:lineRule="auto"/>
        <w:ind w:firstLine="720"/>
        <w:jc w:val="both"/>
      </w:pPr>
      <w:r>
        <w:t xml:space="preserve">- </w:t>
      </w:r>
      <w:r w:rsidRPr="007B007B">
        <w:t xml:space="preserve">Tính thời gian công tác hưởng </w:t>
      </w:r>
      <w:r w:rsidR="001A0081">
        <w:t>BHXH</w:t>
      </w:r>
      <w:r w:rsidRPr="007B007B">
        <w:t xml:space="preserve"> đối với cán bộ xã có thời gian đảm nhiệm chức danh theo Nghị định số 09/1998/NĐ-CP; </w:t>
      </w:r>
    </w:p>
    <w:p w:rsidR="003B2275" w:rsidRDefault="003B2275" w:rsidP="007B007B">
      <w:pPr>
        <w:widowControl w:val="0"/>
        <w:spacing w:before="120" w:line="312" w:lineRule="auto"/>
        <w:ind w:firstLine="720"/>
        <w:jc w:val="both"/>
      </w:pPr>
      <w:r>
        <w:t xml:space="preserve">- </w:t>
      </w:r>
      <w:r w:rsidRPr="007B007B">
        <w:t xml:space="preserve">Chế độ đối với người đang hưởng trợ cấp hằng tháng mà trước đó có thời gian đóng </w:t>
      </w:r>
      <w:r w:rsidR="001A0081">
        <w:t>BHXH</w:t>
      </w:r>
      <w:r w:rsidRPr="007B007B">
        <w:t xml:space="preserve"> chưa được tính hưởng </w:t>
      </w:r>
      <w:r w:rsidR="001A0081">
        <w:t>BHXH</w:t>
      </w:r>
      <w:r w:rsidRPr="007B007B">
        <w:t xml:space="preserve">; </w:t>
      </w:r>
    </w:p>
    <w:p w:rsidR="003B2275" w:rsidRDefault="003B2275" w:rsidP="007B007B">
      <w:pPr>
        <w:widowControl w:val="0"/>
        <w:spacing w:before="120" w:line="312" w:lineRule="auto"/>
        <w:ind w:firstLine="720"/>
        <w:jc w:val="both"/>
        <w:rPr>
          <w:color w:val="000000"/>
          <w:lang w:val="es-ES"/>
        </w:rPr>
      </w:pPr>
      <w:r>
        <w:t xml:space="preserve">- </w:t>
      </w:r>
      <w:r w:rsidRPr="007B007B">
        <w:rPr>
          <w:color w:val="000000"/>
          <w:lang w:val="es-ES"/>
        </w:rPr>
        <w:t xml:space="preserve">Chế độ đối với người lao động đã có quyết định nghỉ việc chờ giải quyết chế độ hưu trí, trợ cấp hằng tháng; </w:t>
      </w:r>
    </w:p>
    <w:p w:rsidR="004E1166" w:rsidRDefault="003B2275" w:rsidP="007B007B">
      <w:pPr>
        <w:widowControl w:val="0"/>
        <w:spacing w:before="120" w:line="312" w:lineRule="auto"/>
        <w:ind w:firstLine="720"/>
        <w:jc w:val="both"/>
        <w:rPr>
          <w:bCs/>
          <w:color w:val="000000"/>
        </w:rPr>
      </w:pPr>
      <w:r>
        <w:t xml:space="preserve">- </w:t>
      </w:r>
      <w:r w:rsidRPr="007B007B">
        <w:t>Chế độ đối với người lao động đang nghỉ việc hưởng chế độ ốm đau do mắc bệnh thuộc danh mục bệnh cần chữa trị dài ngày hoặc đang nghỉ việc hưởng chế độ thai sản theo quy định của Luật số 58/2014/QH13.</w:t>
      </w:r>
      <w:r w:rsidRPr="003B2275">
        <w:rPr>
          <w:bCs/>
          <w:color w:val="000000"/>
        </w:rPr>
        <w:t xml:space="preserve"> </w:t>
      </w:r>
    </w:p>
    <w:p w:rsidR="00B55061" w:rsidRDefault="003B2275" w:rsidP="007B007B">
      <w:pPr>
        <w:widowControl w:val="0"/>
        <w:spacing w:before="120" w:line="312" w:lineRule="auto"/>
        <w:ind w:firstLine="720"/>
        <w:jc w:val="both"/>
        <w:rPr>
          <w:bCs/>
          <w:color w:val="000000"/>
        </w:rPr>
      </w:pPr>
      <w:r>
        <w:rPr>
          <w:bCs/>
          <w:color w:val="000000"/>
        </w:rPr>
        <w:t xml:space="preserve">Về cơ bản, các nội dung </w:t>
      </w:r>
      <w:r w:rsidR="00911417">
        <w:rPr>
          <w:bCs/>
          <w:color w:val="000000"/>
        </w:rPr>
        <w:t xml:space="preserve">quy định </w:t>
      </w:r>
      <w:r>
        <w:rPr>
          <w:bCs/>
          <w:color w:val="000000"/>
        </w:rPr>
        <w:t>tại chương này được kế thừa từ</w:t>
      </w:r>
      <w:r w:rsidR="00B55061">
        <w:rPr>
          <w:bCs/>
          <w:color w:val="000000"/>
        </w:rPr>
        <w:t xml:space="preserve"> các</w:t>
      </w:r>
      <w:r>
        <w:rPr>
          <w:bCs/>
          <w:color w:val="000000"/>
        </w:rPr>
        <w:t xml:space="preserve"> quy định hiện hành </w:t>
      </w:r>
      <w:r w:rsidR="00B55061">
        <w:rPr>
          <w:bCs/>
          <w:color w:val="000000"/>
        </w:rPr>
        <w:t>đang được thực hiện thời gian qua theo các văn bản của Chính phủ và của các bộ, ngành</w:t>
      </w:r>
      <w:r w:rsidR="00B55061">
        <w:rPr>
          <w:rStyle w:val="FootnoteReference"/>
          <w:bCs/>
          <w:color w:val="000000"/>
        </w:rPr>
        <w:footnoteReference w:id="8"/>
      </w:r>
      <w:r w:rsidR="00B55061">
        <w:rPr>
          <w:bCs/>
          <w:color w:val="000000"/>
        </w:rPr>
        <w:t>.</w:t>
      </w:r>
    </w:p>
    <w:p w:rsidR="005D4E1D" w:rsidRPr="005D4E1D" w:rsidRDefault="005D4E1D" w:rsidP="007B007B">
      <w:pPr>
        <w:widowControl w:val="0"/>
        <w:pBdr>
          <w:top w:val="dotted" w:sz="4" w:space="0" w:color="FFFFFF"/>
          <w:left w:val="dotted" w:sz="4" w:space="0" w:color="FFFFFF"/>
          <w:bottom w:val="dotted" w:sz="4" w:space="9" w:color="FFFFFF"/>
          <w:right w:val="dotted" w:sz="4" w:space="0" w:color="FFFFFF"/>
        </w:pBdr>
        <w:spacing w:before="120" w:line="312" w:lineRule="auto"/>
        <w:ind w:firstLine="720"/>
        <w:jc w:val="both"/>
        <w:rPr>
          <w:i/>
        </w:rPr>
      </w:pPr>
      <w:r w:rsidRPr="005D4E1D">
        <w:rPr>
          <w:i/>
        </w:rPr>
        <w:t>2.7. Chương VII. Điều khoản thi hành</w:t>
      </w:r>
    </w:p>
    <w:p w:rsidR="00D87883" w:rsidRDefault="005D4E1D" w:rsidP="007B007B">
      <w:pPr>
        <w:widowControl w:val="0"/>
        <w:pBdr>
          <w:top w:val="dotted" w:sz="4" w:space="0" w:color="FFFFFF"/>
          <w:left w:val="dotted" w:sz="4" w:space="0" w:color="FFFFFF"/>
          <w:bottom w:val="dotted" w:sz="4" w:space="9" w:color="FFFFFF"/>
          <w:right w:val="dotted" w:sz="4" w:space="0" w:color="FFFFFF"/>
        </w:pBdr>
        <w:spacing w:before="120" w:line="312" w:lineRule="auto"/>
        <w:ind w:firstLine="720"/>
        <w:jc w:val="both"/>
      </w:pPr>
      <w:r>
        <w:t xml:space="preserve">Chương này </w:t>
      </w:r>
      <w:r w:rsidR="00911417">
        <w:t xml:space="preserve">gồm 03 điều, từ Điều 42 đến Điều 44: </w:t>
      </w:r>
      <w:r>
        <w:t>quy định về việc</w:t>
      </w:r>
      <w:r w:rsidR="00911417">
        <w:t xml:space="preserve"> s</w:t>
      </w:r>
      <w:r w:rsidRPr="005D4E1D">
        <w:t xml:space="preserve">ửa đổi, bổ sung một số văn bản quy phạm pháp luật </w:t>
      </w:r>
      <w:r>
        <w:t xml:space="preserve">có liên quan đến BHXH </w:t>
      </w:r>
      <w:r w:rsidR="00911417">
        <w:t>(</w:t>
      </w:r>
      <w:r w:rsidRPr="00630A19">
        <w:rPr>
          <w:rFonts w:eastAsiaTheme="minorHAnsi" w:cstheme="minorBidi"/>
        </w:rPr>
        <w:t>Nghị định số 88/2020/NĐ-CP</w:t>
      </w:r>
      <w:r w:rsidR="00911417">
        <w:rPr>
          <w:rFonts w:eastAsiaTheme="minorHAnsi" w:cstheme="minorBidi"/>
        </w:rPr>
        <w:t>)</w:t>
      </w:r>
      <w:r>
        <w:t>; Hiệu lực thi hành và Trách nhiệm tổ chức thi hành.</w:t>
      </w:r>
    </w:p>
    <w:p w:rsidR="00D87883" w:rsidRPr="005D4E1D" w:rsidRDefault="00D87883" w:rsidP="007B007B">
      <w:pPr>
        <w:widowControl w:val="0"/>
        <w:pBdr>
          <w:top w:val="dotted" w:sz="4" w:space="0" w:color="FFFFFF"/>
          <w:left w:val="dotted" w:sz="4" w:space="0" w:color="FFFFFF"/>
          <w:bottom w:val="dotted" w:sz="4" w:space="9" w:color="FFFFFF"/>
          <w:right w:val="dotted" w:sz="4" w:space="0" w:color="FFFFFF"/>
        </w:pBdr>
        <w:spacing w:before="120" w:line="312" w:lineRule="auto"/>
        <w:ind w:firstLine="720"/>
        <w:jc w:val="both"/>
      </w:pPr>
    </w:p>
    <w:p w:rsidR="001A4190" w:rsidRPr="00D87883" w:rsidRDefault="00E4749E"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rPr>
          <w:b/>
          <w:color w:val="000000"/>
          <w:sz w:val="24"/>
          <w:lang w:val="eu-ES"/>
        </w:rPr>
      </w:pPr>
      <w:r w:rsidRPr="00D87883">
        <w:rPr>
          <w:b/>
          <w:sz w:val="24"/>
          <w:szCs w:val="26"/>
        </w:rPr>
        <w:lastRenderedPageBreak/>
        <w:t>V</w:t>
      </w:r>
      <w:r w:rsidR="00B06C40" w:rsidRPr="00D87883">
        <w:rPr>
          <w:b/>
          <w:sz w:val="24"/>
          <w:szCs w:val="26"/>
        </w:rPr>
        <w:t>I</w:t>
      </w:r>
      <w:r w:rsidRPr="00D87883">
        <w:rPr>
          <w:b/>
          <w:sz w:val="24"/>
          <w:szCs w:val="26"/>
        </w:rPr>
        <w:t xml:space="preserve">. </w:t>
      </w:r>
      <w:r w:rsidR="005D2D6B" w:rsidRPr="00D87883">
        <w:rPr>
          <w:b/>
          <w:color w:val="000000"/>
          <w:sz w:val="24"/>
          <w:lang w:val="eu-ES"/>
        </w:rPr>
        <w:t>DỰ KIẾN NGUỒN LỰC, ĐIỀU KIỆN BẢO ĐẢM CHO VIỆC THI HÀNH LUẬT SAU KHI ĐƯỢC THÔNG QUA</w:t>
      </w:r>
    </w:p>
    <w:p w:rsidR="000F2387" w:rsidRPr="006C26B5" w:rsidRDefault="000F2387"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rPr>
          <w:b/>
          <w:color w:val="000000"/>
          <w:lang w:val="eu-ES"/>
        </w:rPr>
      </w:pPr>
      <w:r w:rsidRPr="006C26B5">
        <w:rPr>
          <w:b/>
          <w:color w:val="000000"/>
          <w:lang w:val="eu-ES"/>
        </w:rPr>
        <w:t>1. Dự kiến nguồn lực</w:t>
      </w:r>
    </w:p>
    <w:p w:rsidR="006C26B5" w:rsidRDefault="006C26B5"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rPr>
          <w:color w:val="000000"/>
          <w:lang w:val="eu-ES"/>
        </w:rPr>
      </w:pPr>
      <w:r>
        <w:rPr>
          <w:color w:val="000000"/>
          <w:lang w:val="eu-ES"/>
        </w:rPr>
        <w:t>Với các quy định tại dự thảo Nghị định</w:t>
      </w:r>
      <w:r w:rsidRPr="006C26B5">
        <w:rPr>
          <w:color w:val="000000"/>
          <w:lang w:val="eu-ES"/>
        </w:rPr>
        <w:t xml:space="preserve"> về cơ bản không yêu cầu tăng thêm nhân lực để triển khai thực hiện </w:t>
      </w:r>
      <w:r>
        <w:rPr>
          <w:color w:val="000000"/>
          <w:lang w:val="eu-ES"/>
        </w:rPr>
        <w:t xml:space="preserve">chế độ, </w:t>
      </w:r>
      <w:r w:rsidRPr="006C26B5">
        <w:rPr>
          <w:color w:val="000000"/>
          <w:lang w:val="eu-ES"/>
        </w:rPr>
        <w:t>chính sách</w:t>
      </w:r>
      <w:r>
        <w:rPr>
          <w:color w:val="000000"/>
          <w:lang w:val="eu-ES"/>
        </w:rPr>
        <w:t xml:space="preserve"> BHXH</w:t>
      </w:r>
      <w:r w:rsidRPr="006C26B5">
        <w:rPr>
          <w:color w:val="000000"/>
          <w:lang w:val="eu-ES"/>
        </w:rPr>
        <w:t xml:space="preserve"> sau khi được thông qua. Việc </w:t>
      </w:r>
      <w:r>
        <w:rPr>
          <w:color w:val="000000"/>
          <w:lang w:val="eu-ES"/>
        </w:rPr>
        <w:t>tổ chức thực hiện</w:t>
      </w:r>
      <w:r w:rsidRPr="006C26B5">
        <w:rPr>
          <w:color w:val="000000"/>
          <w:lang w:val="eu-ES"/>
        </w:rPr>
        <w:t xml:space="preserve"> </w:t>
      </w:r>
      <w:r>
        <w:rPr>
          <w:color w:val="000000"/>
          <w:lang w:val="eu-ES"/>
        </w:rPr>
        <w:t>Nghị định</w:t>
      </w:r>
      <w:r w:rsidRPr="006C26B5">
        <w:rPr>
          <w:color w:val="000000"/>
          <w:lang w:val="eu-ES"/>
        </w:rPr>
        <w:t xml:space="preserve"> sau khi được thông qua vẫn được đảm bảo bởi cơ quan </w:t>
      </w:r>
      <w:r w:rsidR="001A0081">
        <w:rPr>
          <w:color w:val="000000"/>
          <w:lang w:val="eu-ES"/>
        </w:rPr>
        <w:t>BHXH</w:t>
      </w:r>
      <w:r w:rsidRPr="006C26B5">
        <w:rPr>
          <w:color w:val="000000"/>
          <w:lang w:val="eu-ES"/>
        </w:rPr>
        <w:t>, không cần tăng thêm nguồn nhân lực.</w:t>
      </w:r>
    </w:p>
    <w:p w:rsidR="000F2387" w:rsidRPr="006C26B5" w:rsidRDefault="000F2387"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rPr>
          <w:b/>
          <w:color w:val="000000"/>
          <w:lang w:val="eu-ES"/>
        </w:rPr>
      </w:pPr>
      <w:r w:rsidRPr="006C26B5">
        <w:rPr>
          <w:b/>
          <w:color w:val="000000"/>
          <w:lang w:val="eu-ES"/>
        </w:rPr>
        <w:t>2. Về đảm bảo nguồn kinh phí</w:t>
      </w:r>
    </w:p>
    <w:p w:rsidR="006C26B5" w:rsidRDefault="006C26B5"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rPr>
          <w:color w:val="000000"/>
          <w:lang w:val="eu-ES"/>
        </w:rPr>
      </w:pPr>
      <w:r w:rsidRPr="006C26B5">
        <w:rPr>
          <w:color w:val="000000"/>
          <w:lang w:val="eu-ES"/>
        </w:rPr>
        <w:t xml:space="preserve">Kinh phí bảo đảm tổ chức </w:t>
      </w:r>
      <w:r>
        <w:rPr>
          <w:color w:val="000000"/>
          <w:lang w:val="eu-ES"/>
        </w:rPr>
        <w:t>thực hiện Nghị định</w:t>
      </w:r>
      <w:r w:rsidRPr="006C26B5">
        <w:rPr>
          <w:color w:val="000000"/>
          <w:lang w:val="eu-ES"/>
        </w:rPr>
        <w:t xml:space="preserve"> sau </w:t>
      </w:r>
      <w:r>
        <w:rPr>
          <w:color w:val="000000"/>
          <w:lang w:val="eu-ES"/>
        </w:rPr>
        <w:t xml:space="preserve">khi được ban hành được lấy từ chi tổ chức và hoạt động BHXH theo quy định tại Điều 120 Luật BHXH </w:t>
      </w:r>
      <w:r w:rsidRPr="006C26B5">
        <w:rPr>
          <w:color w:val="000000"/>
          <w:lang w:val="eu-ES"/>
        </w:rPr>
        <w:t>để thực hiện các nhiệm vụ, chức năng tổ chức thực hiện</w:t>
      </w:r>
      <w:r>
        <w:rPr>
          <w:color w:val="000000"/>
          <w:lang w:val="eu-ES"/>
        </w:rPr>
        <w:t xml:space="preserve"> chế độ,</w:t>
      </w:r>
      <w:r w:rsidRPr="006C26B5">
        <w:rPr>
          <w:color w:val="000000"/>
          <w:lang w:val="eu-ES"/>
        </w:rPr>
        <w:t xml:space="preserve"> chính sách của cơ quan </w:t>
      </w:r>
      <w:r>
        <w:rPr>
          <w:color w:val="000000"/>
          <w:lang w:val="eu-ES"/>
        </w:rPr>
        <w:t>BHXH</w:t>
      </w:r>
      <w:r w:rsidRPr="006C26B5">
        <w:rPr>
          <w:color w:val="000000"/>
          <w:lang w:val="eu-ES"/>
        </w:rPr>
        <w:t xml:space="preserve"> và từ nguồn kinh phí chi thường xuyên của các bộ, ngành để thực hiện chức năng quản lý nhà nước về </w:t>
      </w:r>
      <w:r w:rsidR="001A0081">
        <w:rPr>
          <w:color w:val="000000"/>
          <w:lang w:val="eu-ES"/>
        </w:rPr>
        <w:t>BHXH</w:t>
      </w:r>
      <w:r w:rsidRPr="006C26B5">
        <w:rPr>
          <w:color w:val="000000"/>
          <w:lang w:val="eu-ES"/>
        </w:rPr>
        <w:t>.</w:t>
      </w:r>
    </w:p>
    <w:p w:rsidR="0079717C" w:rsidRDefault="00582837"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pPr>
      <w:r>
        <w:rPr>
          <w:color w:val="000000"/>
          <w:lang w:val="eu-ES"/>
        </w:rPr>
        <w:t>Trên đây là các nội dung cơ bản của dự thảo Nghị định quy định chi tiết và hướng dẫn thi hành một số điều của Luật BHXH về BHXH bắt buộc</w:t>
      </w:r>
      <w:r>
        <w:rPr>
          <w:b/>
          <w:color w:val="000000"/>
          <w:lang w:val="eu-ES"/>
        </w:rPr>
        <w:t xml:space="preserve">, </w:t>
      </w:r>
      <w:r w:rsidR="009B7192">
        <w:t>Bộ Lao động - Thương binh và Xã hội kính trình Chính phủ</w:t>
      </w:r>
      <w:r>
        <w:t xml:space="preserve"> xem xét, quyết định</w:t>
      </w:r>
      <w:r w:rsidR="002928E9" w:rsidRPr="00337EA1">
        <w:t>./.</w:t>
      </w:r>
    </w:p>
    <w:p w:rsidR="002928E9" w:rsidRPr="00582837" w:rsidRDefault="0079717C" w:rsidP="007B007B">
      <w:pPr>
        <w:widowControl w:val="0"/>
        <w:pBdr>
          <w:top w:val="dotted" w:sz="4" w:space="0" w:color="FFFFFF"/>
          <w:left w:val="dotted" w:sz="4" w:space="0" w:color="FFFFFF"/>
          <w:bottom w:val="dotted" w:sz="4" w:space="9" w:color="FFFFFF"/>
          <w:right w:val="dotted" w:sz="4" w:space="0" w:color="FFFFFF"/>
        </w:pBdr>
        <w:spacing w:before="120" w:line="288" w:lineRule="auto"/>
        <w:ind w:firstLine="720"/>
        <w:jc w:val="both"/>
      </w:pPr>
      <w:r w:rsidRPr="00337EA1">
        <w:rPr>
          <w:i/>
          <w:color w:val="000000" w:themeColor="text1"/>
          <w:kern w:val="28"/>
          <w:lang w:val="eu-ES"/>
        </w:rPr>
        <w:t>H</w:t>
      </w:r>
      <w:r w:rsidR="00582837">
        <w:rPr>
          <w:i/>
          <w:color w:val="000000" w:themeColor="text1"/>
          <w:kern w:val="28"/>
          <w:lang w:val="eu-ES"/>
        </w:rPr>
        <w:t>ồ sơ kèm theo Tờ trình này gồm</w:t>
      </w:r>
      <w:r w:rsidR="002928E9" w:rsidRPr="00337EA1">
        <w:rPr>
          <w:i/>
          <w:iCs/>
        </w:rPr>
        <w:t xml:space="preserve">: (1) </w:t>
      </w:r>
      <w:r w:rsidR="00485BCE" w:rsidRPr="00337EA1">
        <w:rPr>
          <w:i/>
          <w:iCs/>
        </w:rPr>
        <w:t xml:space="preserve">Dự thảo Nghị </w:t>
      </w:r>
      <w:r w:rsidR="009B7192">
        <w:rPr>
          <w:i/>
          <w:iCs/>
        </w:rPr>
        <w:t>định</w:t>
      </w:r>
      <w:r w:rsidR="00485BCE" w:rsidRPr="00337EA1">
        <w:rPr>
          <w:i/>
          <w:iCs/>
        </w:rPr>
        <w:t>; (</w:t>
      </w:r>
      <w:r w:rsidR="009B7192">
        <w:rPr>
          <w:i/>
          <w:iCs/>
        </w:rPr>
        <w:t>2</w:t>
      </w:r>
      <w:r w:rsidR="00485BCE" w:rsidRPr="00337EA1">
        <w:rPr>
          <w:i/>
          <w:iCs/>
        </w:rPr>
        <w:t xml:space="preserve">) </w:t>
      </w:r>
      <w:r w:rsidR="002928E9" w:rsidRPr="00337EA1">
        <w:rPr>
          <w:i/>
          <w:iCs/>
        </w:rPr>
        <w:t>Báo cáo đánh giá tác động của chính sách</w:t>
      </w:r>
      <w:r w:rsidR="00485BCE" w:rsidRPr="00337EA1">
        <w:rPr>
          <w:bCs/>
          <w:i/>
          <w:color w:val="000000"/>
        </w:rPr>
        <w:t>; (</w:t>
      </w:r>
      <w:r w:rsidR="009B7192">
        <w:rPr>
          <w:bCs/>
          <w:i/>
          <w:color w:val="000000"/>
        </w:rPr>
        <w:t>3</w:t>
      </w:r>
      <w:r w:rsidR="00485BCE" w:rsidRPr="00337EA1">
        <w:rPr>
          <w:bCs/>
          <w:i/>
          <w:color w:val="000000"/>
        </w:rPr>
        <w:t>) Báo cáo rà soát các văn bản quy phạm pháp luật có liên quan; (</w:t>
      </w:r>
      <w:r w:rsidR="009B7192">
        <w:rPr>
          <w:bCs/>
          <w:i/>
          <w:color w:val="000000"/>
        </w:rPr>
        <w:t>4</w:t>
      </w:r>
      <w:r w:rsidR="006F598F" w:rsidRPr="00337EA1">
        <w:rPr>
          <w:bCs/>
          <w:i/>
          <w:color w:val="000000"/>
        </w:rPr>
        <w:t>)</w:t>
      </w:r>
      <w:r w:rsidR="00485BCE" w:rsidRPr="00337EA1">
        <w:rPr>
          <w:bCs/>
          <w:i/>
          <w:color w:val="000000"/>
        </w:rPr>
        <w:t xml:space="preserve"> Báo cáo thẩm định</w:t>
      </w:r>
      <w:r w:rsidR="0026076B">
        <w:rPr>
          <w:bCs/>
          <w:i/>
          <w:color w:val="000000"/>
        </w:rPr>
        <w:t xml:space="preserve"> của Bộ Tư pháp; </w:t>
      </w:r>
      <w:r w:rsidR="0026076B" w:rsidRPr="0026076B">
        <w:rPr>
          <w:bCs/>
          <w:i/>
          <w:color w:val="000000"/>
        </w:rPr>
        <w:t>(</w:t>
      </w:r>
      <w:r w:rsidR="009B7192">
        <w:rPr>
          <w:bCs/>
          <w:i/>
          <w:color w:val="000000"/>
        </w:rPr>
        <w:t>5</w:t>
      </w:r>
      <w:r w:rsidR="0026076B" w:rsidRPr="0026076B">
        <w:rPr>
          <w:bCs/>
          <w:i/>
          <w:color w:val="000000"/>
        </w:rPr>
        <w:t>) Báo cáo tiếp thu, giải trình ý kiến thẩm định của Bộ Tư pháp của Bộ Lao động - Thương binh và Xã hội</w:t>
      </w:r>
      <w:r w:rsidR="002F16BB">
        <w:rPr>
          <w:bCs/>
          <w:i/>
          <w:color w:val="000000"/>
        </w:rPr>
        <w:t xml:space="preserve">; </w:t>
      </w:r>
      <w:r w:rsidR="004B4542">
        <w:rPr>
          <w:bCs/>
          <w:i/>
          <w:color w:val="000000"/>
        </w:rPr>
        <w:t>(</w:t>
      </w:r>
      <w:r w:rsidR="007F2FFA">
        <w:rPr>
          <w:bCs/>
          <w:i/>
          <w:color w:val="000000"/>
        </w:rPr>
        <w:t>6</w:t>
      </w:r>
      <w:r w:rsidR="004B4542">
        <w:rPr>
          <w:bCs/>
          <w:i/>
          <w:color w:val="000000"/>
        </w:rPr>
        <w:t>)</w:t>
      </w:r>
      <w:r w:rsidR="00485BCE" w:rsidRPr="00337EA1">
        <w:rPr>
          <w:bCs/>
          <w:i/>
          <w:color w:val="000000"/>
        </w:rPr>
        <w:t xml:space="preserve"> Bảng tổng hợp giải trình, tiếp thu ý kiến góp </w:t>
      </w:r>
      <w:r w:rsidR="0078766C" w:rsidRPr="00337EA1">
        <w:rPr>
          <w:bCs/>
          <w:i/>
          <w:color w:val="000000"/>
        </w:rPr>
        <w:t>ý</w:t>
      </w:r>
      <w:r w:rsidR="002F16BB">
        <w:rPr>
          <w:bCs/>
          <w:i/>
          <w:color w:val="000000"/>
        </w:rPr>
        <w:t>; (</w:t>
      </w:r>
      <w:r w:rsidR="007F2FFA">
        <w:rPr>
          <w:bCs/>
          <w:i/>
          <w:color w:val="000000"/>
        </w:rPr>
        <w:t>7</w:t>
      </w:r>
      <w:r w:rsidR="002F16BB">
        <w:rPr>
          <w:bCs/>
          <w:i/>
          <w:color w:val="000000"/>
        </w:rPr>
        <w:t>) Bản chụp ý kiến góp ý.</w:t>
      </w:r>
    </w:p>
    <w:p w:rsidR="002F16BB" w:rsidRPr="002F16BB" w:rsidRDefault="002F16BB" w:rsidP="00BF66EE">
      <w:pPr>
        <w:widowControl w:val="0"/>
        <w:pBdr>
          <w:top w:val="dotted" w:sz="4" w:space="0" w:color="FFFFFF"/>
          <w:left w:val="dotted" w:sz="4" w:space="0" w:color="FFFFFF"/>
          <w:bottom w:val="dotted" w:sz="4" w:space="9" w:color="FFFFFF"/>
          <w:right w:val="dotted" w:sz="4" w:space="0" w:color="FFFFFF"/>
        </w:pBdr>
        <w:spacing w:after="120" w:line="276" w:lineRule="auto"/>
        <w:ind w:firstLine="720"/>
        <w:jc w:val="both"/>
        <w:rPr>
          <w:bCs/>
          <w:i/>
          <w:color w:val="000000"/>
          <w:sz w:val="10"/>
        </w:rPr>
      </w:pPr>
    </w:p>
    <w:tbl>
      <w:tblPr>
        <w:tblW w:w="9214" w:type="dxa"/>
        <w:tblLayout w:type="fixed"/>
        <w:tblLook w:val="0000" w:firstRow="0" w:lastRow="0" w:firstColumn="0" w:lastColumn="0" w:noHBand="0" w:noVBand="0"/>
      </w:tblPr>
      <w:tblGrid>
        <w:gridCol w:w="4536"/>
        <w:gridCol w:w="4678"/>
      </w:tblGrid>
      <w:tr w:rsidR="0079717C" w:rsidRPr="0079717C" w:rsidTr="002F16BB">
        <w:trPr>
          <w:trHeight w:val="1594"/>
        </w:trPr>
        <w:tc>
          <w:tcPr>
            <w:tcW w:w="4536" w:type="dxa"/>
          </w:tcPr>
          <w:p w:rsidR="0079717C" w:rsidRPr="0079717C" w:rsidRDefault="0079717C" w:rsidP="0079717C">
            <w:pPr>
              <w:ind w:left="-108"/>
              <w:rPr>
                <w:b/>
                <w:i/>
                <w:color w:val="000000" w:themeColor="text1"/>
                <w:lang w:val="eu-ES"/>
              </w:rPr>
            </w:pPr>
            <w:r w:rsidRPr="0079717C">
              <w:rPr>
                <w:b/>
                <w:i/>
                <w:color w:val="000000" w:themeColor="text1"/>
                <w:sz w:val="24"/>
                <w:lang w:val="eu-ES"/>
              </w:rPr>
              <w:t>Nơi nhận:</w:t>
            </w:r>
          </w:p>
          <w:p w:rsidR="0079717C" w:rsidRPr="0079717C" w:rsidRDefault="0079717C" w:rsidP="0079717C">
            <w:pPr>
              <w:ind w:left="-108"/>
              <w:rPr>
                <w:color w:val="000000" w:themeColor="text1"/>
                <w:sz w:val="22"/>
                <w:lang w:val="eu-ES"/>
              </w:rPr>
            </w:pPr>
            <w:r w:rsidRPr="0079717C">
              <w:rPr>
                <w:color w:val="000000" w:themeColor="text1"/>
                <w:sz w:val="22"/>
                <w:lang w:val="eu-ES"/>
              </w:rPr>
              <w:t>- Như trên;</w:t>
            </w:r>
          </w:p>
          <w:p w:rsidR="0079717C" w:rsidRPr="0079717C" w:rsidRDefault="0079717C" w:rsidP="0079717C">
            <w:pPr>
              <w:ind w:left="-108"/>
              <w:rPr>
                <w:color w:val="000000" w:themeColor="text1"/>
                <w:sz w:val="22"/>
                <w:lang w:val="eu-ES"/>
              </w:rPr>
            </w:pPr>
            <w:r w:rsidRPr="0079717C">
              <w:rPr>
                <w:color w:val="000000" w:themeColor="text1"/>
                <w:sz w:val="22"/>
                <w:lang w:val="eu-ES"/>
              </w:rPr>
              <w:t>- Thủ tướng Chính phủ (để báo cáo);</w:t>
            </w:r>
          </w:p>
          <w:p w:rsidR="0079717C" w:rsidRPr="0079717C" w:rsidRDefault="0079717C" w:rsidP="0079717C">
            <w:pPr>
              <w:ind w:left="-108"/>
              <w:rPr>
                <w:color w:val="000000" w:themeColor="text1"/>
                <w:sz w:val="22"/>
                <w:lang w:val="eu-ES"/>
              </w:rPr>
            </w:pPr>
            <w:r w:rsidRPr="0079717C">
              <w:rPr>
                <w:color w:val="000000" w:themeColor="text1"/>
                <w:sz w:val="22"/>
                <w:lang w:val="eu-ES"/>
              </w:rPr>
              <w:t>- Các Phó Thủ tướng Chính phủ (để báo cáo);</w:t>
            </w:r>
          </w:p>
          <w:p w:rsidR="0079717C" w:rsidRDefault="0079717C" w:rsidP="0079717C">
            <w:pPr>
              <w:ind w:left="-108"/>
              <w:rPr>
                <w:color w:val="000000" w:themeColor="text1"/>
                <w:sz w:val="22"/>
                <w:lang w:val="eu-ES"/>
              </w:rPr>
            </w:pPr>
            <w:r w:rsidRPr="0079717C">
              <w:rPr>
                <w:color w:val="000000" w:themeColor="text1"/>
                <w:sz w:val="22"/>
                <w:lang w:val="eu-ES"/>
              </w:rPr>
              <w:t>- Văn phòng Quốc hội;</w:t>
            </w:r>
          </w:p>
          <w:p w:rsidR="007F2FFA" w:rsidRPr="0079717C" w:rsidRDefault="007F2FFA" w:rsidP="0079717C">
            <w:pPr>
              <w:ind w:left="-108"/>
              <w:rPr>
                <w:color w:val="000000" w:themeColor="text1"/>
                <w:sz w:val="22"/>
                <w:lang w:val="eu-ES"/>
              </w:rPr>
            </w:pPr>
            <w:r>
              <w:rPr>
                <w:color w:val="000000" w:themeColor="text1"/>
                <w:sz w:val="22"/>
                <w:lang w:val="eu-ES"/>
              </w:rPr>
              <w:t>- Văn phòng Chính phủ;</w:t>
            </w:r>
          </w:p>
          <w:p w:rsidR="0079717C" w:rsidRPr="0079717C" w:rsidRDefault="0079717C" w:rsidP="0079717C">
            <w:pPr>
              <w:ind w:left="-108"/>
              <w:rPr>
                <w:color w:val="000000" w:themeColor="text1"/>
                <w:sz w:val="22"/>
                <w:lang w:val="eu-ES"/>
              </w:rPr>
            </w:pPr>
            <w:r w:rsidRPr="0079717C">
              <w:rPr>
                <w:color w:val="000000" w:themeColor="text1"/>
                <w:sz w:val="22"/>
                <w:lang w:val="eu-ES"/>
              </w:rPr>
              <w:t>- Ủy ban Xã hội của Quốc hội;</w:t>
            </w:r>
          </w:p>
          <w:p w:rsidR="00582837" w:rsidRDefault="00582837" w:rsidP="0079717C">
            <w:pPr>
              <w:ind w:left="-108"/>
              <w:rPr>
                <w:color w:val="000000" w:themeColor="text1"/>
                <w:sz w:val="22"/>
                <w:lang w:val="eu-ES"/>
              </w:rPr>
            </w:pPr>
            <w:r>
              <w:rPr>
                <w:color w:val="000000" w:themeColor="text1"/>
                <w:sz w:val="22"/>
                <w:lang w:val="eu-ES"/>
              </w:rPr>
              <w:t>- Các bộ: Công an, Quốc phòng,</w:t>
            </w:r>
          </w:p>
          <w:p w:rsidR="0079717C" w:rsidRDefault="00582837" w:rsidP="0079717C">
            <w:pPr>
              <w:ind w:left="-108"/>
              <w:rPr>
                <w:color w:val="000000" w:themeColor="text1"/>
                <w:sz w:val="22"/>
                <w:lang w:val="eu-ES"/>
              </w:rPr>
            </w:pPr>
            <w:r>
              <w:rPr>
                <w:color w:val="000000" w:themeColor="text1"/>
                <w:sz w:val="22"/>
                <w:lang w:val="eu-ES"/>
              </w:rPr>
              <w:t>Tài chính, Tư pháp</w:t>
            </w:r>
            <w:r w:rsidR="0079717C" w:rsidRPr="0079717C">
              <w:rPr>
                <w:color w:val="000000" w:themeColor="text1"/>
                <w:sz w:val="22"/>
                <w:lang w:val="eu-ES"/>
              </w:rPr>
              <w:t>;</w:t>
            </w:r>
          </w:p>
          <w:p w:rsidR="00582837" w:rsidRPr="0079717C" w:rsidRDefault="00582837" w:rsidP="0079717C">
            <w:pPr>
              <w:ind w:left="-108"/>
              <w:rPr>
                <w:color w:val="000000" w:themeColor="text1"/>
                <w:sz w:val="22"/>
                <w:lang w:val="eu-ES"/>
              </w:rPr>
            </w:pPr>
            <w:r>
              <w:rPr>
                <w:color w:val="000000" w:themeColor="text1"/>
                <w:sz w:val="22"/>
                <w:lang w:val="eu-ES"/>
              </w:rPr>
              <w:t>- BHXH Việt Nam;</w:t>
            </w:r>
          </w:p>
          <w:p w:rsidR="0079717C" w:rsidRPr="0079717C" w:rsidRDefault="007F2FFA" w:rsidP="0079717C">
            <w:pPr>
              <w:ind w:left="-108"/>
              <w:rPr>
                <w:color w:val="000000" w:themeColor="text1"/>
                <w:sz w:val="22"/>
                <w:lang w:val="eu-ES"/>
              </w:rPr>
            </w:pPr>
            <w:r>
              <w:rPr>
                <w:color w:val="000000" w:themeColor="text1"/>
                <w:sz w:val="22"/>
                <w:lang w:val="eu-ES"/>
              </w:rPr>
              <w:t>- Lưu: VT, VBHXH</w:t>
            </w:r>
            <w:r>
              <w:rPr>
                <w:color w:val="000000" w:themeColor="text1"/>
                <w:sz w:val="22"/>
                <w:vertAlign w:val="subscript"/>
                <w:lang w:val="eu-ES"/>
              </w:rPr>
              <w:t>(VHN)</w:t>
            </w:r>
            <w:r w:rsidR="0079717C" w:rsidRPr="0079717C">
              <w:rPr>
                <w:color w:val="000000" w:themeColor="text1"/>
                <w:sz w:val="22"/>
                <w:lang w:val="eu-ES"/>
              </w:rPr>
              <w:t>.</w:t>
            </w:r>
          </w:p>
          <w:p w:rsidR="0079717C" w:rsidRPr="0079717C" w:rsidRDefault="0079717C" w:rsidP="0079717C">
            <w:pPr>
              <w:rPr>
                <w:color w:val="000000" w:themeColor="text1"/>
                <w:lang w:val="eu-ES"/>
              </w:rPr>
            </w:pPr>
          </w:p>
        </w:tc>
        <w:tc>
          <w:tcPr>
            <w:tcW w:w="4678" w:type="dxa"/>
          </w:tcPr>
          <w:p w:rsidR="0079717C" w:rsidRPr="0079717C" w:rsidRDefault="007F2FFA" w:rsidP="0079717C">
            <w:pPr>
              <w:jc w:val="center"/>
              <w:rPr>
                <w:color w:val="000000" w:themeColor="text1"/>
                <w:lang w:val="eu-ES"/>
              </w:rPr>
            </w:pPr>
            <w:r>
              <w:rPr>
                <w:b/>
                <w:color w:val="000000" w:themeColor="text1"/>
                <w:lang w:val="eu-ES"/>
              </w:rPr>
              <w:t>BỘ TRƯỞNG</w:t>
            </w:r>
          </w:p>
          <w:p w:rsidR="0079717C" w:rsidRPr="0079717C" w:rsidRDefault="0079717C" w:rsidP="0079717C">
            <w:pPr>
              <w:jc w:val="center"/>
              <w:rPr>
                <w:color w:val="000000" w:themeColor="text1"/>
                <w:lang w:val="eu-ES"/>
              </w:rPr>
            </w:pPr>
          </w:p>
          <w:p w:rsidR="0079717C" w:rsidRPr="0079717C" w:rsidRDefault="0079717C" w:rsidP="0079717C">
            <w:pPr>
              <w:jc w:val="both"/>
              <w:rPr>
                <w:color w:val="000000" w:themeColor="text1"/>
                <w:lang w:val="eu-ES"/>
              </w:rPr>
            </w:pPr>
          </w:p>
          <w:p w:rsidR="0079717C" w:rsidRPr="0079717C" w:rsidRDefault="0079717C" w:rsidP="0079717C">
            <w:pPr>
              <w:jc w:val="center"/>
              <w:rPr>
                <w:color w:val="000000" w:themeColor="text1"/>
                <w:lang w:val="eu-ES"/>
              </w:rPr>
            </w:pPr>
          </w:p>
          <w:p w:rsidR="0079717C" w:rsidRPr="0079717C" w:rsidRDefault="0079717C" w:rsidP="0079717C">
            <w:pPr>
              <w:jc w:val="center"/>
              <w:rPr>
                <w:color w:val="000000" w:themeColor="text1"/>
                <w:lang w:val="eu-ES"/>
              </w:rPr>
            </w:pPr>
          </w:p>
          <w:p w:rsidR="0079717C" w:rsidRDefault="0079717C" w:rsidP="0079717C">
            <w:pPr>
              <w:jc w:val="center"/>
              <w:rPr>
                <w:color w:val="000000" w:themeColor="text1"/>
                <w:lang w:val="eu-ES"/>
              </w:rPr>
            </w:pPr>
          </w:p>
          <w:p w:rsidR="007F2FFA" w:rsidRPr="0079717C" w:rsidRDefault="007F2FFA" w:rsidP="0079717C">
            <w:pPr>
              <w:jc w:val="center"/>
              <w:rPr>
                <w:color w:val="000000" w:themeColor="text1"/>
                <w:lang w:val="eu-ES"/>
              </w:rPr>
            </w:pPr>
          </w:p>
          <w:p w:rsidR="0079717C" w:rsidRPr="0079717C" w:rsidRDefault="0079717C" w:rsidP="0079717C">
            <w:pPr>
              <w:jc w:val="center"/>
              <w:rPr>
                <w:color w:val="000000" w:themeColor="text1"/>
                <w:lang w:val="eu-ES"/>
              </w:rPr>
            </w:pPr>
          </w:p>
          <w:p w:rsidR="0079717C" w:rsidRPr="0079717C" w:rsidRDefault="0079717C" w:rsidP="0079717C">
            <w:pPr>
              <w:jc w:val="center"/>
              <w:rPr>
                <w:color w:val="000000" w:themeColor="text1"/>
                <w:lang w:val="eu-ES"/>
              </w:rPr>
            </w:pPr>
            <w:r w:rsidRPr="0079717C">
              <w:rPr>
                <w:b/>
                <w:color w:val="000000" w:themeColor="text1"/>
                <w:lang w:val="eu-ES"/>
              </w:rPr>
              <w:t>Đào Ngọc Dung</w:t>
            </w:r>
          </w:p>
        </w:tc>
      </w:tr>
    </w:tbl>
    <w:p w:rsidR="002928E9" w:rsidRPr="00E61D96" w:rsidRDefault="002928E9" w:rsidP="002928E9">
      <w:pPr>
        <w:spacing w:before="120" w:after="120" w:line="247" w:lineRule="auto"/>
        <w:ind w:firstLine="720"/>
        <w:jc w:val="both"/>
      </w:pPr>
    </w:p>
    <w:p w:rsidR="0011034B" w:rsidRDefault="0011034B"/>
    <w:sectPr w:rsidR="0011034B" w:rsidSect="00465409">
      <w:headerReference w:type="default" r:id="rId7"/>
      <w:footerReference w:type="even" r:id="rId8"/>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447" w:rsidRDefault="005B3447" w:rsidP="002928E9">
      <w:r>
        <w:separator/>
      </w:r>
    </w:p>
  </w:endnote>
  <w:endnote w:type="continuationSeparator" w:id="0">
    <w:p w:rsidR="005B3447" w:rsidRDefault="005B3447" w:rsidP="0029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F7" w:rsidRDefault="004441F7" w:rsidP="00E47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1F7" w:rsidRDefault="004441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447" w:rsidRDefault="005B3447" w:rsidP="002928E9">
      <w:r>
        <w:separator/>
      </w:r>
    </w:p>
  </w:footnote>
  <w:footnote w:type="continuationSeparator" w:id="0">
    <w:p w:rsidR="005B3447" w:rsidRDefault="005B3447" w:rsidP="002928E9">
      <w:r>
        <w:continuationSeparator/>
      </w:r>
    </w:p>
  </w:footnote>
  <w:footnote w:id="1">
    <w:p w:rsidR="004441F7" w:rsidRDefault="004441F7" w:rsidP="007B007B">
      <w:pPr>
        <w:pStyle w:val="FootnoteText"/>
        <w:jc w:val="both"/>
      </w:pPr>
      <w:r>
        <w:rPr>
          <w:rStyle w:val="FootnoteReference"/>
        </w:rPr>
        <w:footnoteRef/>
      </w:r>
      <w:r>
        <w:t xml:space="preserve"> Bao gồm </w:t>
      </w:r>
      <w:r>
        <w:rPr>
          <w:szCs w:val="26"/>
        </w:rPr>
        <w:t xml:space="preserve">các điều, khoản: </w:t>
      </w:r>
      <w:r w:rsidRPr="004D79D7">
        <w:rPr>
          <w:szCs w:val="26"/>
        </w:rPr>
        <w:t>Điểm m khoản 1, điểm e khoản 5 và khoản 7 Điều 2, điểm c khoản 12 Điều 3, khoản 3 Điều 7, khoản 7 Điều 23, khoản 4 Điều 25, khoản 5 Điều 28, điểm c khoản 1 và khoản 3 Điều 31, khoản 5 Điều 33, khoản 3 Điều 37, điểm c khoản 1 và khoản 3 Điều 64, khoản 5 Điều 66, khoản 7 Điều 70, khoản 4 Điều 72, khoản 2 Điều 73, khoản 7 Điều 75, khoản 5 Điều 89, khoản 4 Điều 90, khoả</w:t>
      </w:r>
      <w:r>
        <w:rPr>
          <w:szCs w:val="26"/>
        </w:rPr>
        <w:t xml:space="preserve">n 2 Điều 111, khoản 15 Điều 141. </w:t>
      </w:r>
    </w:p>
  </w:footnote>
  <w:footnote w:id="2">
    <w:p w:rsidR="004441F7" w:rsidRDefault="004441F7">
      <w:pPr>
        <w:pStyle w:val="FootnoteText"/>
      </w:pPr>
      <w:r>
        <w:rPr>
          <w:rStyle w:val="FootnoteReference"/>
        </w:rPr>
        <w:footnoteRef/>
      </w:r>
      <w:r>
        <w:t xml:space="preserve"> Khoản 1 Điều 89 của Luật BHXH năm 2014</w:t>
      </w:r>
    </w:p>
  </w:footnote>
  <w:footnote w:id="3">
    <w:p w:rsidR="004441F7" w:rsidRDefault="004441F7">
      <w:pPr>
        <w:pStyle w:val="FootnoteText"/>
      </w:pPr>
      <w:r>
        <w:rPr>
          <w:rStyle w:val="FootnoteReference"/>
        </w:rPr>
        <w:footnoteRef/>
      </w:r>
      <w:r>
        <w:t xml:space="preserve"> Điều 34 của Nghị định số 33/2023/NĐ-CP</w:t>
      </w:r>
    </w:p>
  </w:footnote>
  <w:footnote w:id="4">
    <w:p w:rsidR="004441F7" w:rsidRDefault="004441F7">
      <w:pPr>
        <w:pStyle w:val="FootnoteText"/>
      </w:pPr>
      <w:r>
        <w:rPr>
          <w:rStyle w:val="FootnoteReference"/>
        </w:rPr>
        <w:footnoteRef/>
      </w:r>
      <w:r>
        <w:t xml:space="preserve"> Điều 26 của Nghị định số 115/2015/NĐ-CP</w:t>
      </w:r>
    </w:p>
  </w:footnote>
  <w:footnote w:id="5">
    <w:p w:rsidR="004441F7" w:rsidRDefault="004441F7">
      <w:pPr>
        <w:pStyle w:val="FootnoteText"/>
      </w:pPr>
      <w:r>
        <w:rPr>
          <w:rStyle w:val="FootnoteReference"/>
        </w:rPr>
        <w:footnoteRef/>
      </w:r>
      <w:r>
        <w:t xml:space="preserve"> Điều 18 của Nghị định số 115/2015/NĐ-CP</w:t>
      </w:r>
    </w:p>
  </w:footnote>
  <w:footnote w:id="6">
    <w:p w:rsidR="004441F7" w:rsidRDefault="004441F7">
      <w:pPr>
        <w:pStyle w:val="FootnoteText"/>
      </w:pPr>
      <w:r>
        <w:rPr>
          <w:rStyle w:val="FootnoteReference"/>
        </w:rPr>
        <w:footnoteRef/>
      </w:r>
      <w:r>
        <w:t xml:space="preserve"> Điều 16 của Nghị định số 115/2015/NĐ-CP và Điều 28, Điều 29 của Thông tư số 59/2015/TT-BLĐTBXH</w:t>
      </w:r>
    </w:p>
  </w:footnote>
  <w:footnote w:id="7">
    <w:p w:rsidR="00D87883" w:rsidRDefault="00D87883">
      <w:pPr>
        <w:pStyle w:val="FootnoteText"/>
      </w:pPr>
      <w:r>
        <w:rPr>
          <w:rStyle w:val="FootnoteReference"/>
        </w:rPr>
        <w:footnoteRef/>
      </w:r>
      <w:r>
        <w:t xml:space="preserve"> Khoản 3 Điều 10 của Nghị định số 115/2015/NĐ-CP</w:t>
      </w:r>
    </w:p>
  </w:footnote>
  <w:footnote w:id="8">
    <w:p w:rsidR="00B55061" w:rsidRPr="00B55061" w:rsidRDefault="00B55061" w:rsidP="00B55061">
      <w:pPr>
        <w:pStyle w:val="FootnoteText"/>
      </w:pPr>
      <w:r>
        <w:rPr>
          <w:rStyle w:val="FootnoteReference"/>
        </w:rPr>
        <w:footnoteRef/>
      </w:r>
      <w:r>
        <w:t xml:space="preserve"> </w:t>
      </w:r>
      <w:r w:rsidRPr="00B55061">
        <w:t>Nghị định số 115/2015/NĐ-CP</w:t>
      </w:r>
      <w:r w:rsidR="00911417">
        <w:t>;</w:t>
      </w:r>
      <w:r>
        <w:t xml:space="preserve"> </w:t>
      </w:r>
      <w:r w:rsidRPr="00B55061">
        <w:t>Nghị định số 33/2023/NĐ-CP</w:t>
      </w:r>
      <w:r w:rsidR="00911417">
        <w:t>;</w:t>
      </w:r>
      <w:r>
        <w:t xml:space="preserve"> Thông tư số 59/2015/TT-BLĐTBXH</w:t>
      </w:r>
      <w:r w:rsidR="00911417">
        <w:t>;</w:t>
      </w:r>
      <w:r>
        <w:t xml:space="preserve"> Thông tư số </w:t>
      </w:r>
      <w:r w:rsidR="00911417">
        <w:t>06/2021/TT-BLĐTBXH; v</w:t>
      </w:r>
      <w:r w:rsidR="00911417" w:rsidRPr="00911417">
        <w:t>ăn bản số 3595/LĐTBXH-BHXH ngày 18/9/2020 của Bộ Lao động - Thương binh và Xã hội</w:t>
      </w:r>
      <w:r w:rsidR="00911417">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F7" w:rsidRDefault="004441F7">
    <w:pPr>
      <w:pStyle w:val="Header"/>
      <w:jc w:val="center"/>
    </w:pPr>
    <w:r>
      <w:fldChar w:fldCharType="begin"/>
    </w:r>
    <w:r>
      <w:instrText xml:space="preserve"> PAGE   \* MERGEFORMAT </w:instrText>
    </w:r>
    <w:r>
      <w:fldChar w:fldCharType="separate"/>
    </w:r>
    <w:r w:rsidR="0030605F">
      <w:rPr>
        <w:noProof/>
      </w:rPr>
      <w:t>2</w:t>
    </w:r>
    <w:r>
      <w:rPr>
        <w:noProof/>
      </w:rPr>
      <w:fldChar w:fldCharType="end"/>
    </w:r>
  </w:p>
  <w:p w:rsidR="004441F7" w:rsidRDefault="00444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4C"/>
    <w:rsid w:val="000047AE"/>
    <w:rsid w:val="00030A4E"/>
    <w:rsid w:val="00041919"/>
    <w:rsid w:val="00055658"/>
    <w:rsid w:val="00073BCC"/>
    <w:rsid w:val="000868A5"/>
    <w:rsid w:val="000906A5"/>
    <w:rsid w:val="000A5906"/>
    <w:rsid w:val="000B7E43"/>
    <w:rsid w:val="000C3B82"/>
    <w:rsid w:val="000E1922"/>
    <w:rsid w:val="000F2387"/>
    <w:rsid w:val="00106479"/>
    <w:rsid w:val="0011034B"/>
    <w:rsid w:val="00150599"/>
    <w:rsid w:val="00155672"/>
    <w:rsid w:val="001A0081"/>
    <w:rsid w:val="001A4190"/>
    <w:rsid w:val="001C62B5"/>
    <w:rsid w:val="001D10B2"/>
    <w:rsid w:val="0021359D"/>
    <w:rsid w:val="00250763"/>
    <w:rsid w:val="0026076B"/>
    <w:rsid w:val="00274FFD"/>
    <w:rsid w:val="002928E9"/>
    <w:rsid w:val="002A050E"/>
    <w:rsid w:val="002B1E7A"/>
    <w:rsid w:val="002B3DF7"/>
    <w:rsid w:val="002D56B1"/>
    <w:rsid w:val="002F16BB"/>
    <w:rsid w:val="0030605F"/>
    <w:rsid w:val="0031574A"/>
    <w:rsid w:val="00337EA1"/>
    <w:rsid w:val="003478B9"/>
    <w:rsid w:val="0035281D"/>
    <w:rsid w:val="00364995"/>
    <w:rsid w:val="00371EFD"/>
    <w:rsid w:val="00373E92"/>
    <w:rsid w:val="00380CE4"/>
    <w:rsid w:val="003967E3"/>
    <w:rsid w:val="003B2275"/>
    <w:rsid w:val="003C4527"/>
    <w:rsid w:val="00414FFA"/>
    <w:rsid w:val="00415440"/>
    <w:rsid w:val="004441F7"/>
    <w:rsid w:val="0044539E"/>
    <w:rsid w:val="004453CE"/>
    <w:rsid w:val="00456D6B"/>
    <w:rsid w:val="00465409"/>
    <w:rsid w:val="00485BCE"/>
    <w:rsid w:val="004A4005"/>
    <w:rsid w:val="004B4542"/>
    <w:rsid w:val="004D79D7"/>
    <w:rsid w:val="004E0E65"/>
    <w:rsid w:val="004E1166"/>
    <w:rsid w:val="00514B5B"/>
    <w:rsid w:val="00523194"/>
    <w:rsid w:val="00562480"/>
    <w:rsid w:val="00582837"/>
    <w:rsid w:val="005949EE"/>
    <w:rsid w:val="005B3447"/>
    <w:rsid w:val="005B3B0C"/>
    <w:rsid w:val="005D2D6B"/>
    <w:rsid w:val="005D4564"/>
    <w:rsid w:val="005D4689"/>
    <w:rsid w:val="005D4E1D"/>
    <w:rsid w:val="006067BC"/>
    <w:rsid w:val="00625649"/>
    <w:rsid w:val="006323A2"/>
    <w:rsid w:val="0063742E"/>
    <w:rsid w:val="00645FDA"/>
    <w:rsid w:val="006705E5"/>
    <w:rsid w:val="006803ED"/>
    <w:rsid w:val="006812C0"/>
    <w:rsid w:val="006A2F3F"/>
    <w:rsid w:val="006C0294"/>
    <w:rsid w:val="006C26B5"/>
    <w:rsid w:val="006C6B1A"/>
    <w:rsid w:val="006D03D7"/>
    <w:rsid w:val="006D4DC1"/>
    <w:rsid w:val="006F598F"/>
    <w:rsid w:val="00702AFF"/>
    <w:rsid w:val="007505F2"/>
    <w:rsid w:val="00761477"/>
    <w:rsid w:val="00766925"/>
    <w:rsid w:val="00773E9F"/>
    <w:rsid w:val="00785EDF"/>
    <w:rsid w:val="0078766C"/>
    <w:rsid w:val="0079637C"/>
    <w:rsid w:val="0079717C"/>
    <w:rsid w:val="007A4E69"/>
    <w:rsid w:val="007A50A0"/>
    <w:rsid w:val="007A7D72"/>
    <w:rsid w:val="007B007B"/>
    <w:rsid w:val="007C32BA"/>
    <w:rsid w:val="007E5A4A"/>
    <w:rsid w:val="007F2FFA"/>
    <w:rsid w:val="007F40C9"/>
    <w:rsid w:val="007F7297"/>
    <w:rsid w:val="00800DA7"/>
    <w:rsid w:val="0080352D"/>
    <w:rsid w:val="008528BA"/>
    <w:rsid w:val="00876AE5"/>
    <w:rsid w:val="00886B01"/>
    <w:rsid w:val="00891B4E"/>
    <w:rsid w:val="008A2C67"/>
    <w:rsid w:val="008B4FA7"/>
    <w:rsid w:val="008F1DC4"/>
    <w:rsid w:val="00911417"/>
    <w:rsid w:val="00922B34"/>
    <w:rsid w:val="00962390"/>
    <w:rsid w:val="00970942"/>
    <w:rsid w:val="009760DB"/>
    <w:rsid w:val="00977E20"/>
    <w:rsid w:val="00977EA9"/>
    <w:rsid w:val="00984FFA"/>
    <w:rsid w:val="00993010"/>
    <w:rsid w:val="00993A20"/>
    <w:rsid w:val="009A4F6A"/>
    <w:rsid w:val="009B7192"/>
    <w:rsid w:val="009E1288"/>
    <w:rsid w:val="009E6FEA"/>
    <w:rsid w:val="00A4485B"/>
    <w:rsid w:val="00A627E6"/>
    <w:rsid w:val="00A7628C"/>
    <w:rsid w:val="00AA0D68"/>
    <w:rsid w:val="00AA113C"/>
    <w:rsid w:val="00AB25E0"/>
    <w:rsid w:val="00AD3D28"/>
    <w:rsid w:val="00B06C40"/>
    <w:rsid w:val="00B06DCA"/>
    <w:rsid w:val="00B1275F"/>
    <w:rsid w:val="00B30FAE"/>
    <w:rsid w:val="00B439E5"/>
    <w:rsid w:val="00B43E69"/>
    <w:rsid w:val="00B55061"/>
    <w:rsid w:val="00B84AFA"/>
    <w:rsid w:val="00B87264"/>
    <w:rsid w:val="00BF4E35"/>
    <w:rsid w:val="00BF66EE"/>
    <w:rsid w:val="00C11E83"/>
    <w:rsid w:val="00C3033E"/>
    <w:rsid w:val="00C314A3"/>
    <w:rsid w:val="00C47BA6"/>
    <w:rsid w:val="00C55B70"/>
    <w:rsid w:val="00C65AD7"/>
    <w:rsid w:val="00CC59AF"/>
    <w:rsid w:val="00CD0CB9"/>
    <w:rsid w:val="00D173B3"/>
    <w:rsid w:val="00D40C85"/>
    <w:rsid w:val="00D5035F"/>
    <w:rsid w:val="00D51E09"/>
    <w:rsid w:val="00D87883"/>
    <w:rsid w:val="00E06DBD"/>
    <w:rsid w:val="00E249A0"/>
    <w:rsid w:val="00E44A98"/>
    <w:rsid w:val="00E4749E"/>
    <w:rsid w:val="00E53D4C"/>
    <w:rsid w:val="00EA0FB5"/>
    <w:rsid w:val="00EA2674"/>
    <w:rsid w:val="00ED77C3"/>
    <w:rsid w:val="00F25F81"/>
    <w:rsid w:val="00F27485"/>
    <w:rsid w:val="00F66729"/>
    <w:rsid w:val="00F81B97"/>
    <w:rsid w:val="00F90F28"/>
    <w:rsid w:val="00FE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8CFB17"/>
  <w15:chartTrackingRefBased/>
  <w15:docId w15:val="{30076E4B-4667-4A17-8324-83060A3D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E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8E9"/>
    <w:pPr>
      <w:tabs>
        <w:tab w:val="center" w:pos="4680"/>
        <w:tab w:val="right" w:pos="9360"/>
      </w:tabs>
    </w:pPr>
  </w:style>
  <w:style w:type="character" w:customStyle="1" w:styleId="HeaderChar">
    <w:name w:val="Header Char"/>
    <w:basedOn w:val="DefaultParagraphFont"/>
    <w:link w:val="Header"/>
    <w:uiPriority w:val="99"/>
    <w:rsid w:val="002928E9"/>
    <w:rPr>
      <w:rFonts w:eastAsia="Times New Roman" w:cs="Times New Roman"/>
      <w:szCs w:val="28"/>
    </w:rPr>
  </w:style>
  <w:style w:type="paragraph" w:styleId="Footer">
    <w:name w:val="footer"/>
    <w:basedOn w:val="Normal"/>
    <w:link w:val="FooterChar"/>
    <w:uiPriority w:val="99"/>
    <w:unhideWhenUsed/>
    <w:rsid w:val="002928E9"/>
    <w:pPr>
      <w:tabs>
        <w:tab w:val="center" w:pos="4680"/>
        <w:tab w:val="right" w:pos="9360"/>
      </w:tabs>
    </w:pPr>
  </w:style>
  <w:style w:type="character" w:customStyle="1" w:styleId="FooterChar">
    <w:name w:val="Footer Char"/>
    <w:basedOn w:val="DefaultParagraphFont"/>
    <w:link w:val="Footer"/>
    <w:uiPriority w:val="99"/>
    <w:rsid w:val="002928E9"/>
    <w:rPr>
      <w:rFonts w:eastAsia="Times New Roman" w:cs="Times New Roman"/>
      <w:szCs w:val="28"/>
    </w:rPr>
  </w:style>
  <w:style w:type="character" w:styleId="PageNumber">
    <w:name w:val="page number"/>
    <w:basedOn w:val="DefaultParagraphFont"/>
    <w:rsid w:val="002928E9"/>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unhideWhenUsed/>
    <w:qFormat/>
    <w:rsid w:val="002928E9"/>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2928E9"/>
    <w:rPr>
      <w:rFonts w:eastAsia="Times New Roman" w:cs="Times New Roman"/>
      <w:sz w:val="20"/>
      <w:szCs w:val="20"/>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link w:val="Char2"/>
    <w:uiPriority w:val="99"/>
    <w:unhideWhenUsed/>
    <w:qFormat/>
    <w:rsid w:val="002928E9"/>
    <w:rPr>
      <w:vertAlign w:val="superscript"/>
    </w:rPr>
  </w:style>
  <w:style w:type="paragraph" w:styleId="NormalWeb">
    <w:name w:val="Normal (Web)"/>
    <w:basedOn w:val="Normal"/>
    <w:uiPriority w:val="99"/>
    <w:unhideWhenUsed/>
    <w:rsid w:val="002928E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F4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0C9"/>
    <w:rPr>
      <w:rFonts w:ascii="Segoe UI" w:eastAsia="Times New Roman" w:hAnsi="Segoe UI" w:cs="Segoe UI"/>
      <w:sz w:val="18"/>
      <w:szCs w:val="18"/>
    </w:rPr>
  </w:style>
  <w:style w:type="paragraph" w:customStyle="1" w:styleId="Char2">
    <w:name w:val="Char2"/>
    <w:basedOn w:val="Normal"/>
    <w:link w:val="FootnoteReference"/>
    <w:uiPriority w:val="99"/>
    <w:rsid w:val="00D51E09"/>
    <w:pPr>
      <w:spacing w:after="160" w:line="240" w:lineRule="exact"/>
    </w:pPr>
    <w:rPr>
      <w:rFonts w:eastAsiaTheme="minorHAnsi" w:cstheme="minorBidi"/>
      <w:szCs w:val="22"/>
      <w:vertAlign w:val="superscript"/>
    </w:rPr>
  </w:style>
  <w:style w:type="paragraph" w:styleId="ListParagraph">
    <w:name w:val="List Paragraph"/>
    <w:basedOn w:val="Normal"/>
    <w:uiPriority w:val="34"/>
    <w:qFormat/>
    <w:rsid w:val="00F8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A7D2-BA98-4FB9-B650-8D31A6DF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Hai Nam</dc:creator>
  <cp:keywords/>
  <dc:description/>
  <cp:lastModifiedBy>Vu Hai Nam</cp:lastModifiedBy>
  <cp:revision>10</cp:revision>
  <cp:lastPrinted>2024-11-15T06:34:00Z</cp:lastPrinted>
  <dcterms:created xsi:type="dcterms:W3CDTF">2024-11-12T08:31:00Z</dcterms:created>
  <dcterms:modified xsi:type="dcterms:W3CDTF">2024-11-15T06:42:00Z</dcterms:modified>
</cp:coreProperties>
</file>